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rPr>
          <w:i w:val="0"/>
        </w:rPr>
        <w:t>Statistical Analysis Plan</w:t>
      </w:r>
    </w:p>
    <w:p>
      <w:pPr>
        <w:widowControl/>
      </w:pPr>
      <w:r>
        <w:rPr>
          <w:b/>
          <w:i w:val="0"/>
        </w:rPr>
        <w:t>Full Study Title:</w:t>
      </w:r>
      <w:r>
        <w:rPr>
          <w:i w:val="0"/>
        </w:rPr>
        <w:t xml:space="preserve"> </w:t>
      </w:r>
    </w:p>
    <w:p>
      <w:pPr>
        <w:widowControl/>
      </w:pPr>
      <w:r>
        <w:rPr>
          <w:b/>
          <w:i w:val="0"/>
        </w:rPr>
        <w:t>Protocol Number:</w:t>
      </w:r>
      <w:r>
        <w:rPr>
          <w:i w:val="0"/>
        </w:rPr>
        <w:t xml:space="preserve"> [Insert Protocol Number, e.g., XYZ-123]</w:t>
      </w:r>
    </w:p>
    <w:p>
      <w:pPr>
        <w:widowControl/>
      </w:pPr>
      <w:r>
        <w:rPr>
          <w:b/>
          <w:i w:val="0"/>
        </w:rPr>
        <w:t>Phase of Study:</w:t>
      </w:r>
      <w:r>
        <w:rPr>
          <w:i w:val="0"/>
        </w:rPr>
        <w:t xml:space="preserve"> [e.g., Phase III]</w:t>
      </w:r>
    </w:p>
    <w:p>
      <w:pPr>
        <w:widowControl/>
      </w:pPr>
      <w:r>
        <w:rPr>
          <w:b/>
          <w:i w:val="0"/>
        </w:rPr>
        <w:t>Investigational Product:</w:t>
      </w:r>
      <w:r>
        <w:rPr>
          <w:i w:val="0"/>
        </w:rPr>
        <w:t xml:space="preserve"> [Insert Name of Investigational Product]</w:t>
      </w:r>
    </w:p>
    <w:p>
      <w:pPr>
        <w:widowControl/>
      </w:pPr>
      <w:r>
        <w:rPr>
          <w:b/>
          <w:i w:val="0"/>
        </w:rPr>
        <w:t>Sponsor:</w:t>
      </w:r>
      <w:r>
        <w:rPr>
          <w:i w:val="0"/>
        </w:rPr>
        <w:t xml:space="preserve"> </w:t>
      </w:r>
    </w:p>
    <w:p>
      <w:pPr>
        <w:widowControl/>
      </w:pPr>
      <w:r>
        <w:rPr>
          <w:b/>
          <w:i w:val="0"/>
        </w:rPr>
        <w:t>Statistical Analysis Plan Version:</w:t>
      </w:r>
      <w:r>
        <w:rPr>
          <w:i w:val="0"/>
        </w:rPr>
        <w:t xml:space="preserve"> [e.g., 1.0]</w:t>
      </w:r>
    </w:p>
    <w:p>
      <w:pPr>
        <w:widowControl/>
      </w:pPr>
      <w:r>
        <w:rPr>
          <w:b/>
          <w:i w:val="0"/>
        </w:rPr>
        <w:t>SAP Date:</w:t>
      </w:r>
      <w:r>
        <w:rPr>
          <w:i w:val="0"/>
        </w:rPr>
        <w:t xml:space="preserve"> </w:t>
      </w:r>
    </w:p>
    <w:p>
      <w:pPr>
        <w:widowControl/>
      </w:pPr>
      <w:r>
        <w:rPr>
          <w:b/>
          <w:i w:val="0"/>
        </w:rPr>
        <w:t>Based on Protocol Version:</w:t>
      </w:r>
      <w:r>
        <w:rPr>
          <w:i w:val="0"/>
        </w:rPr>
        <w:t xml:space="preserve"> </w:t>
      </w:r>
    </w:p>
    <w:p>
      <w:pPr>
        <w:pStyle w:val="Heading2"/>
        <w:widowControl/>
      </w:pPr>
      <w:r>
        <w:rPr>
          <w:i w:val="0"/>
        </w:rPr>
        <w:t>Confidentiality Statement</w:t>
      </w:r>
    </w:p>
    <w:p>
      <w:pPr>
        <w:widowControl/>
      </w:pPr>
      <w:r>
        <w:rPr/>
        <w:t>[Insert the study-specific confidentiality statement and document owner. This downloadable template contains no participant data.</w:t>
      </w:r>
      <w:r>
        <w:rPr/>
        <w:t>]</w:t>
      </w:r>
    </w:p>
    <w:p>
      <w:pPr>
        <w:pStyle w:val="Heading2"/>
        <w:widowControl/>
      </w:pPr>
      <w:r>
        <w:rPr>
          <w:i w:val="0"/>
        </w:rPr>
        <w:t>Approval Signatures</w:t>
      </w:r>
    </w:p>
    <w:tbl>
      <w:tblPr>
        <w:tblStyle w:val="TableGrid"/>
        <w:tblW w:type="auto" w:w="0"/>
        <w:tblLayout w:type="fixed"/>
        <w:tblLook w:firstColumn="1" w:firstRow="1" w:lastColumn="0" w:lastRow="0" w:noHBand="0" w:noVBand="1" w:val="04A0"/>
      </w:tblPr>
      <w:tblGrid>
        <w:gridCol w:w="2484"/>
        <w:gridCol w:w="2484"/>
        <w:gridCol w:w="2484"/>
        <w:gridCol w:w="2484"/>
      </w:tblGrid>
      <w:tr>
        <w:trPr>
          <w:cantSplit/>
          <w:tblHeader/>
        </w:trPr>
        <w:tc>
          <w:tcPr>
            <w:tcW w:type="dxa" w:w="2484"/>
            <w:shd w:fill="EEF2F6"/>
          </w:tcPr>
          <w:p>
            <w:pPr>
              <w:spacing w:after="80" w:before="80"/>
            </w:pPr>
            <w:r>
              <w:rPr>
                <w:b/>
                <w:sz w:val="18"/>
              </w:rPr>
              <w:t>Role</w:t>
            </w:r>
          </w:p>
        </w:tc>
        <w:tc>
          <w:tcPr>
            <w:tcW w:type="dxa" w:w="2484"/>
            <w:shd w:fill="EEF2F6"/>
          </w:tcPr>
          <w:p>
            <w:pPr>
              <w:spacing w:after="80" w:before="80"/>
            </w:pPr>
            <w:r>
              <w:rPr>
                <w:b/>
                <w:sz w:val="18"/>
              </w:rPr>
              <w:t>Name (Printed)</w:t>
            </w:r>
          </w:p>
        </w:tc>
        <w:tc>
          <w:tcPr>
            <w:tcW w:type="dxa" w:w="2484"/>
            <w:shd w:fill="EEF2F6"/>
          </w:tcPr>
          <w:p>
            <w:pPr>
              <w:spacing w:after="80" w:before="80"/>
            </w:pPr>
            <w:r>
              <w:rPr>
                <w:b/>
                <w:sz w:val="18"/>
              </w:rPr>
              <w:t>Signature</w:t>
            </w:r>
          </w:p>
        </w:tc>
        <w:tc>
          <w:tcPr>
            <w:tcW w:type="dxa" w:w="2484"/>
            <w:shd w:fill="EEF2F6"/>
          </w:tcPr>
          <w:p>
            <w:pPr>
              <w:spacing w:after="80" w:before="80"/>
            </w:pPr>
            <w:r>
              <w:rPr>
                <w:b/>
                <w:sz w:val="18"/>
              </w:rPr>
              <w:t>Date (DD-MMM-YYYY)</w:t>
            </w:r>
          </w:p>
        </w:tc>
      </w:tr>
      <w:tr>
        <w:trPr>
          <w:cantSplit/>
        </w:trPr>
        <w:tc>
          <w:tcPr>
            <w:tcW w:type="dxa" w:w="2484"/>
          </w:tcPr>
          <w:p>
            <w:pPr>
              <w:spacing w:after="80" w:before="80"/>
            </w:pPr>
            <w:r>
              <w:rPr>
                <w:b w:val="0"/>
                <w:sz w:val="18"/>
              </w:rPr>
              <w:t>Lead Biostatistician</w:t>
            </w:r>
          </w:p>
        </w:tc>
        <w:tc>
          <w:tcPr>
            <w:tcW w:type="dxa" w:w="2484"/>
          </w:tcPr>
          <w:p>
            <w:pPr>
              <w:spacing w:after="80" w:before="80"/>
            </w:pPr>
            <w:r>
              <w:rPr>
                <w:b w:val="0"/>
                <w:sz w:val="18"/>
              </w:rPr>
              <w:t>[Name]</w:t>
            </w:r>
          </w:p>
        </w:tc>
        <w:tc>
          <w:tcPr>
            <w:tcW w:type="dxa" w:w="2484"/>
          </w:tcPr>
          <w:p>
            <w:pPr>
              <w:spacing w:after="80" w:before="80"/>
            </w:pPr>
            <w:r>
              <w:rPr>
                <w:b w:val="0"/>
                <w:sz w:val="18"/>
              </w:rPr>
            </w:r>
          </w:p>
        </w:tc>
        <w:tc>
          <w:tcPr>
            <w:tcW w:type="dxa" w:w="2484"/>
          </w:tcPr>
          <w:p>
            <w:pPr>
              <w:spacing w:after="80" w:before="80"/>
            </w:pPr>
            <w:r>
              <w:rPr>
                <w:b w:val="0"/>
                <w:sz w:val="18"/>
              </w:rPr>
            </w:r>
          </w:p>
        </w:tc>
      </w:tr>
      <w:tr>
        <w:trPr>
          <w:cantSplit/>
        </w:trPr>
        <w:tc>
          <w:tcPr>
            <w:tcW w:type="dxa" w:w="2484"/>
          </w:tcPr>
          <w:p>
            <w:pPr>
              <w:spacing w:after="80" w:before="80"/>
            </w:pPr>
            <w:r>
              <w:rPr>
                <w:b w:val="0"/>
                <w:sz w:val="18"/>
              </w:rPr>
              <w:t>Clinical Lead / Principal Investigator</w:t>
            </w:r>
          </w:p>
        </w:tc>
        <w:tc>
          <w:tcPr>
            <w:tcW w:type="dxa" w:w="2484"/>
          </w:tcPr>
          <w:p>
            <w:pPr>
              <w:spacing w:after="80" w:before="80"/>
            </w:pPr>
            <w:r>
              <w:rPr>
                <w:b w:val="0"/>
                <w:sz w:val="18"/>
              </w:rPr>
              <w:t>[Name]</w:t>
            </w:r>
          </w:p>
        </w:tc>
        <w:tc>
          <w:tcPr>
            <w:tcW w:type="dxa" w:w="2484"/>
          </w:tcPr>
          <w:p>
            <w:pPr>
              <w:spacing w:after="80" w:before="80"/>
            </w:pPr>
            <w:r>
              <w:rPr>
                <w:b w:val="0"/>
                <w:sz w:val="18"/>
              </w:rPr>
            </w:r>
          </w:p>
        </w:tc>
        <w:tc>
          <w:tcPr>
            <w:tcW w:type="dxa" w:w="2484"/>
          </w:tcPr>
          <w:p>
            <w:pPr>
              <w:spacing w:after="80" w:before="80"/>
            </w:pPr>
            <w:r>
              <w:rPr>
                <w:b w:val="0"/>
                <w:sz w:val="18"/>
              </w:rPr>
            </w:r>
          </w:p>
        </w:tc>
      </w:tr>
      <w:tr>
        <w:trPr>
          <w:cantSplit/>
        </w:trPr>
        <w:tc>
          <w:tcPr>
            <w:tcW w:type="dxa" w:w="2484"/>
          </w:tcPr>
          <w:p>
            <w:pPr>
              <w:spacing w:after="80" w:before="80"/>
            </w:pPr>
            <w:r>
              <w:rPr>
                <w:b w:val="0"/>
                <w:sz w:val="18"/>
              </w:rPr>
              <w:t>Project Manager</w:t>
            </w:r>
          </w:p>
        </w:tc>
        <w:tc>
          <w:tcPr>
            <w:tcW w:type="dxa" w:w="2484"/>
          </w:tcPr>
          <w:p>
            <w:pPr>
              <w:spacing w:after="80" w:before="80"/>
            </w:pPr>
            <w:r>
              <w:rPr>
                <w:b w:val="0"/>
                <w:sz w:val="18"/>
              </w:rPr>
              <w:t>[Name]</w:t>
            </w:r>
          </w:p>
        </w:tc>
        <w:tc>
          <w:tcPr>
            <w:tcW w:type="dxa" w:w="2484"/>
          </w:tcPr>
          <w:p>
            <w:pPr>
              <w:spacing w:after="80" w:before="80"/>
            </w:pPr>
            <w:r>
              <w:rPr>
                <w:b w:val="0"/>
                <w:sz w:val="18"/>
              </w:rPr>
            </w:r>
          </w:p>
        </w:tc>
        <w:tc>
          <w:tcPr>
            <w:tcW w:type="dxa" w:w="2484"/>
          </w:tcPr>
          <w:p>
            <w:pPr>
              <w:spacing w:after="80" w:before="80"/>
            </w:pPr>
            <w:r>
              <w:rPr>
                <w:b w:val="0"/>
                <w:sz w:val="18"/>
              </w:rPr>
            </w:r>
          </w:p>
        </w:tc>
      </w:tr>
      <w:tr>
        <w:trPr>
          <w:cantSplit/>
        </w:trPr>
        <w:tc>
          <w:tcPr>
            <w:tcW w:type="dxa" w:w="2484"/>
          </w:tcPr>
          <w:p>
            <w:pPr>
              <w:spacing w:after="80" w:before="80"/>
            </w:pPr>
            <w:r>
              <w:rPr>
                <w:b w:val="0"/>
                <w:sz w:val="18"/>
              </w:rPr>
              <w:t>Regulatory Affairs</w:t>
            </w:r>
          </w:p>
        </w:tc>
        <w:tc>
          <w:tcPr>
            <w:tcW w:type="dxa" w:w="2484"/>
          </w:tcPr>
          <w:p>
            <w:pPr>
              <w:spacing w:after="80" w:before="80"/>
            </w:pPr>
            <w:r>
              <w:rPr>
                <w:b w:val="0"/>
                <w:sz w:val="18"/>
              </w:rPr>
              <w:t>[Name]</w:t>
            </w:r>
          </w:p>
        </w:tc>
        <w:tc>
          <w:tcPr>
            <w:tcW w:type="dxa" w:w="2484"/>
          </w:tcPr>
          <w:p>
            <w:pPr>
              <w:spacing w:after="80" w:before="80"/>
            </w:pPr>
            <w:r>
              <w:rPr>
                <w:b w:val="0"/>
                <w:sz w:val="18"/>
              </w:rPr>
            </w:r>
          </w:p>
        </w:tc>
        <w:tc>
          <w:tcPr>
            <w:tcW w:type="dxa" w:w="2484"/>
          </w:tcPr>
          <w:p>
            <w:pPr>
              <w:spacing w:after="80" w:before="80"/>
            </w:pPr>
            <w:r>
              <w:rPr>
                <w:b w:val="0"/>
                <w:sz w:val="18"/>
              </w:rPr>
            </w:r>
          </w:p>
        </w:tc>
      </w:tr>
      <w:tr>
        <w:trPr>
          <w:cantSplit/>
        </w:trPr>
        <w:tc>
          <w:tcPr>
            <w:tcW w:type="dxa" w:w="2484"/>
          </w:tcPr>
          <w:p>
            <w:pPr>
              <w:spacing w:after="80" w:before="80"/>
            </w:pPr>
            <w:r>
              <w:rPr>
                <w:b w:val="0"/>
                <w:sz w:val="18"/>
              </w:rPr>
              <w:t>[Add other roles as needed]</w:t>
            </w:r>
          </w:p>
        </w:tc>
        <w:tc>
          <w:tcPr>
            <w:tcW w:type="dxa" w:w="2484"/>
          </w:tcPr>
          <w:p>
            <w:pPr>
              <w:spacing w:after="80" w:before="80"/>
            </w:pPr>
            <w:r>
              <w:rPr>
                <w:b w:val="0"/>
                <w:sz w:val="18"/>
              </w:rPr>
              <w:t>[Name]</w:t>
            </w:r>
          </w:p>
        </w:tc>
        <w:tc>
          <w:tcPr>
            <w:tcW w:type="dxa" w:w="2484"/>
          </w:tcPr>
          <w:p>
            <w:pPr>
              <w:spacing w:after="80" w:before="80"/>
            </w:pPr>
            <w:r>
              <w:rPr>
                <w:b w:val="0"/>
                <w:sz w:val="18"/>
              </w:rPr>
            </w:r>
          </w:p>
        </w:tc>
        <w:tc>
          <w:tcPr>
            <w:tcW w:type="dxa" w:w="2484"/>
          </w:tcPr>
          <w:p>
            <w:pPr>
              <w:spacing w:after="80" w:before="80"/>
            </w:pPr>
            <w:r>
              <w:rPr>
                <w:b w:val="0"/>
                <w:sz w:val="18"/>
              </w:rPr>
            </w:r>
          </w:p>
        </w:tc>
      </w:tr>
    </w:tbl>
    <w:p>
      <w:pPr>
        <w:spacing w:after="0"/>
      </w:pPr>
    </w:p>
    <w:p>
      <w:pPr>
        <w:widowControl/>
      </w:pPr>
      <w:r>
        <w:rPr/>
        <w:t>Template instructions: This is a starting structure, not an approved SAP. Replace every bracketed field and example with study-specific decisions. Confirm consistency with the protocol, estimands and analysis methods; remove irrelevant options. Example HbA1c methods are illustrative and are not default recommendations. Obtain the required review and approval before use. Template revised 25 October 2026.</w:t>
      </w:r>
    </w:p>
    <w:p>
      <w:pPr>
        <w:pStyle w:val="Heading1"/>
        <w:pageBreakBefore/>
        <w:widowControl/>
      </w:pPr>
      <w:r>
        <w:rPr>
          <w:i w:val="0"/>
        </w:rPr>
        <w:t>1.0 Document History and Version Control</w:t>
      </w:r>
    </w:p>
    <w:tbl>
      <w:tblPr>
        <w:tblStyle w:val="TableGrid"/>
        <w:tblW w:type="auto" w:w="0"/>
        <w:tblLayout w:type="fixed"/>
        <w:tblLook w:firstColumn="1" w:firstRow="1" w:lastColumn="0" w:lastRow="0" w:noHBand="0" w:noVBand="1" w:val="04A0"/>
      </w:tblPr>
      <w:tblGrid>
        <w:gridCol w:w="2484"/>
        <w:gridCol w:w="2484"/>
        <w:gridCol w:w="2484"/>
        <w:gridCol w:w="2484"/>
      </w:tblGrid>
      <w:tr>
        <w:trPr>
          <w:cantSplit/>
          <w:tblHeader/>
        </w:trPr>
        <w:tc>
          <w:tcPr>
            <w:tcW w:type="dxa" w:w="2484"/>
            <w:shd w:fill="EEF2F6"/>
          </w:tcPr>
          <w:p>
            <w:pPr>
              <w:spacing w:after="80" w:before="80"/>
            </w:pPr>
            <w:r>
              <w:rPr>
                <w:b/>
                <w:sz w:val="18"/>
              </w:rPr>
              <w:t>Version</w:t>
            </w:r>
          </w:p>
        </w:tc>
        <w:tc>
          <w:tcPr>
            <w:tcW w:type="dxa" w:w="2484"/>
            <w:shd w:fill="EEF2F6"/>
          </w:tcPr>
          <w:p>
            <w:pPr>
              <w:spacing w:after="80" w:before="80"/>
            </w:pPr>
            <w:r>
              <w:rPr>
                <w:b/>
                <w:sz w:val="18"/>
              </w:rPr>
              <w:t>Date (DD-MMM-YYYY)</w:t>
            </w:r>
          </w:p>
        </w:tc>
        <w:tc>
          <w:tcPr>
            <w:tcW w:type="dxa" w:w="2484"/>
            <w:shd w:fill="EEF2F6"/>
          </w:tcPr>
          <w:p>
            <w:pPr>
              <w:spacing w:after="80" w:before="80"/>
            </w:pPr>
            <w:r>
              <w:rPr>
                <w:b/>
                <w:sz w:val="18"/>
              </w:rPr>
              <w:t>Author(s)</w:t>
            </w:r>
          </w:p>
        </w:tc>
        <w:tc>
          <w:tcPr>
            <w:tcW w:type="dxa" w:w="2484"/>
            <w:shd w:fill="EEF2F6"/>
          </w:tcPr>
          <w:p>
            <w:pPr>
              <w:spacing w:after="80" w:before="80"/>
            </w:pPr>
            <w:r>
              <w:rPr>
                <w:b/>
                <w:sz w:val="18"/>
              </w:rPr>
              <w:t>Summary of Material Changes from Previous Version</w:t>
            </w:r>
          </w:p>
        </w:tc>
      </w:tr>
      <w:tr>
        <w:trPr>
          <w:cantSplit/>
        </w:trPr>
        <w:tc>
          <w:tcPr>
            <w:tcW w:type="dxa" w:w="2484"/>
          </w:tcPr>
          <w:p>
            <w:pPr>
              <w:spacing w:after="80" w:before="80"/>
            </w:pPr>
            <w:r>
              <w:rPr>
                <w:b w:val="0"/>
                <w:sz w:val="18"/>
              </w:rPr>
              <w:t>1.0</w:t>
            </w:r>
          </w:p>
        </w:tc>
        <w:tc>
          <w:tcPr>
            <w:tcW w:type="dxa" w:w="2484"/>
          </w:tcPr>
          <w:p>
            <w:pPr>
              <w:spacing w:after="80" w:before="80"/>
            </w:pPr>
            <w:r>
              <w:rPr>
                <w:b w:val="0"/>
                <w:sz w:val="18"/>
              </w:rPr>
              <w:t>[Specify]</w:t>
            </w:r>
          </w:p>
        </w:tc>
        <w:tc>
          <w:tcPr>
            <w:tcW w:type="dxa" w:w="2484"/>
          </w:tcPr>
          <w:p>
            <w:pPr>
              <w:spacing w:after="80" w:before="80"/>
            </w:pPr>
            <w:r>
              <w:rPr>
                <w:b w:val="0"/>
                <w:sz w:val="18"/>
              </w:rPr>
              <w:t>[Name(s)]</w:t>
            </w:r>
          </w:p>
        </w:tc>
        <w:tc>
          <w:tcPr>
            <w:tcW w:type="dxa" w:w="2484"/>
          </w:tcPr>
          <w:p>
            <w:pPr>
              <w:spacing w:after="80" w:before="80"/>
            </w:pPr>
            <w:r>
              <w:rPr>
                <w:b w:val="0"/>
                <w:sz w:val="18"/>
              </w:rPr>
              <w:t>Initial final version.</w:t>
            </w:r>
          </w:p>
        </w:tc>
      </w:tr>
      <w:tr>
        <w:trPr>
          <w:cantSplit/>
        </w:trPr>
        <w:tc>
          <w:tcPr>
            <w:tcW w:type="dxa" w:w="2484"/>
          </w:tcPr>
          <w:p>
            <w:pPr>
              <w:spacing w:after="80" w:before="80"/>
            </w:pPr>
            <w:r>
              <w:rPr>
                <w:b w:val="0"/>
                <w:sz w:val="18"/>
              </w:rPr>
              <w:t>[e.g., 1.1]</w:t>
            </w:r>
          </w:p>
        </w:tc>
        <w:tc>
          <w:tcPr>
            <w:tcW w:type="dxa" w:w="2484"/>
          </w:tcPr>
          <w:p>
            <w:pPr>
              <w:spacing w:after="80" w:before="80"/>
            </w:pPr>
            <w:r>
              <w:rPr>
                <w:b w:val="0"/>
                <w:sz w:val="18"/>
              </w:rPr>
              <w:t>[Specify]</w:t>
            </w:r>
          </w:p>
        </w:tc>
        <w:tc>
          <w:tcPr>
            <w:tcW w:type="dxa" w:w="2484"/>
          </w:tcPr>
          <w:p>
            <w:pPr>
              <w:spacing w:after="80" w:before="80"/>
            </w:pPr>
            <w:r>
              <w:rPr>
                <w:b w:val="0"/>
                <w:sz w:val="18"/>
              </w:rPr>
              <w:t>[Name(s)]</w:t>
            </w:r>
          </w:p>
        </w:tc>
        <w:tc>
          <w:tcPr>
            <w:tcW w:type="dxa" w:w="2484"/>
          </w:tcPr>
          <w:p>
            <w:pPr>
              <w:spacing w:after="80" w:before="80"/>
            </w:pPr>
            <w:r>
              <w:rPr>
                <w:b w:val="0"/>
                <w:sz w:val="18"/>
              </w:rPr>
              <w:t>[Specify]</w:t>
            </w:r>
          </w:p>
        </w:tc>
      </w:tr>
    </w:tbl>
    <w:p>
      <w:pPr>
        <w:spacing w:after="0"/>
      </w:pPr>
    </w:p>
    <w:p>
      <w:pPr>
        <w:pStyle w:val="Heading1"/>
        <w:widowControl/>
      </w:pPr>
      <w:r>
        <w:rPr>
          <w:i w:val="0"/>
        </w:rPr>
        <w:t>2.0 List of Abbreviations and Definitions of Terms</w:t>
      </w:r>
    </w:p>
    <w:p>
      <w:pPr>
        <w:pStyle w:val="Heading2"/>
        <w:widowControl/>
      </w:pPr>
      <w:r>
        <w:rPr>
          <w:i w:val="0"/>
        </w:rPr>
        <w:t>2.1 Abbreviations</w:t>
      </w:r>
    </w:p>
    <w:tbl>
      <w:tblPr>
        <w:tblStyle w:val="TableGrid"/>
        <w:tblW w:type="auto" w:w="0"/>
        <w:tblLayout w:type="fixed"/>
        <w:tblLook w:firstColumn="1" w:firstRow="1" w:lastColumn="0" w:lastRow="0" w:noHBand="0" w:noVBand="1" w:val="04A0"/>
      </w:tblPr>
      <w:tblGrid>
        <w:gridCol w:w="4968"/>
        <w:gridCol w:w="4968"/>
      </w:tblGrid>
      <w:tr>
        <w:trPr>
          <w:cantSplit/>
          <w:tblHeader/>
        </w:trPr>
        <w:tc>
          <w:tcPr>
            <w:tcW w:type="dxa" w:w="4968"/>
            <w:shd w:fill="EEF2F6"/>
          </w:tcPr>
          <w:p>
            <w:pPr>
              <w:spacing w:after="80" w:before="80"/>
            </w:pPr>
            <w:r>
              <w:rPr>
                <w:b/>
                <w:sz w:val="18"/>
              </w:rPr>
              <w:t>Abbreviation</w:t>
            </w:r>
          </w:p>
        </w:tc>
        <w:tc>
          <w:tcPr>
            <w:tcW w:type="dxa" w:w="4968"/>
            <w:shd w:fill="EEF2F6"/>
          </w:tcPr>
          <w:p>
            <w:pPr>
              <w:spacing w:after="80" w:before="80"/>
            </w:pPr>
            <w:r>
              <w:rPr>
                <w:b/>
                <w:sz w:val="18"/>
              </w:rPr>
              <w:t>Definition</w:t>
            </w:r>
          </w:p>
        </w:tc>
      </w:tr>
      <w:tr>
        <w:trPr>
          <w:cantSplit/>
        </w:trPr>
        <w:tc>
          <w:tcPr>
            <w:tcW w:type="dxa" w:w="4968"/>
          </w:tcPr>
          <w:p>
            <w:pPr>
              <w:spacing w:after="80" w:before="80"/>
            </w:pPr>
            <w:r>
              <w:rPr>
                <w:b w:val="0"/>
                <w:sz w:val="18"/>
              </w:rPr>
              <w:t>AE</w:t>
            </w:r>
          </w:p>
        </w:tc>
        <w:tc>
          <w:tcPr>
            <w:tcW w:type="dxa" w:w="4968"/>
          </w:tcPr>
          <w:p>
            <w:pPr>
              <w:spacing w:after="80" w:before="80"/>
            </w:pPr>
            <w:r>
              <w:rPr>
                <w:b w:val="0"/>
                <w:sz w:val="18"/>
              </w:rPr>
              <w:t>Adverse Event</w:t>
            </w:r>
          </w:p>
        </w:tc>
      </w:tr>
      <w:tr>
        <w:trPr>
          <w:cantSplit/>
        </w:trPr>
        <w:tc>
          <w:tcPr>
            <w:tcW w:type="dxa" w:w="4968"/>
          </w:tcPr>
          <w:p>
            <w:pPr>
              <w:spacing w:after="80" w:before="80"/>
            </w:pPr>
            <w:r>
              <w:rPr>
                <w:b w:val="0"/>
                <w:sz w:val="18"/>
              </w:rPr>
              <w:t>ANCOVA</w:t>
            </w:r>
          </w:p>
        </w:tc>
        <w:tc>
          <w:tcPr>
            <w:tcW w:type="dxa" w:w="4968"/>
          </w:tcPr>
          <w:p>
            <w:pPr>
              <w:spacing w:after="80" w:before="80"/>
            </w:pPr>
            <w:r>
              <w:rPr>
                <w:b w:val="0"/>
                <w:sz w:val="18"/>
              </w:rPr>
              <w:t>Analysis of Covariance</w:t>
            </w:r>
          </w:p>
        </w:tc>
      </w:tr>
      <w:tr>
        <w:trPr>
          <w:cantSplit/>
        </w:trPr>
        <w:tc>
          <w:tcPr>
            <w:tcW w:type="dxa" w:w="4968"/>
          </w:tcPr>
          <w:p>
            <w:pPr>
              <w:spacing w:after="80" w:before="80"/>
            </w:pPr>
            <w:r>
              <w:rPr>
                <w:b w:val="0"/>
                <w:sz w:val="18"/>
              </w:rPr>
              <w:t>CI</w:t>
            </w:r>
          </w:p>
        </w:tc>
        <w:tc>
          <w:tcPr>
            <w:tcW w:type="dxa" w:w="4968"/>
          </w:tcPr>
          <w:p>
            <w:pPr>
              <w:spacing w:after="80" w:before="80"/>
            </w:pPr>
            <w:r>
              <w:rPr>
                <w:b w:val="0"/>
                <w:sz w:val="18"/>
              </w:rPr>
              <w:t>Confidence Interval</w:t>
            </w:r>
          </w:p>
        </w:tc>
      </w:tr>
      <w:tr>
        <w:trPr>
          <w:cantSplit/>
        </w:trPr>
        <w:tc>
          <w:tcPr>
            <w:tcW w:type="dxa" w:w="4968"/>
          </w:tcPr>
          <w:p>
            <w:pPr>
              <w:spacing w:after="80" w:before="80"/>
            </w:pPr>
            <w:r>
              <w:rPr>
                <w:b w:val="0"/>
                <w:sz w:val="18"/>
              </w:rPr>
              <w:t>CSR</w:t>
            </w:r>
          </w:p>
        </w:tc>
        <w:tc>
          <w:tcPr>
            <w:tcW w:type="dxa" w:w="4968"/>
          </w:tcPr>
          <w:p>
            <w:pPr>
              <w:spacing w:after="80" w:before="80"/>
            </w:pPr>
            <w:r>
              <w:rPr>
                <w:b w:val="0"/>
                <w:sz w:val="18"/>
              </w:rPr>
              <w:t>Clinical Study Report</w:t>
            </w:r>
          </w:p>
        </w:tc>
      </w:tr>
      <w:tr>
        <w:trPr>
          <w:cantSplit/>
        </w:trPr>
        <w:tc>
          <w:tcPr>
            <w:tcW w:type="dxa" w:w="4968"/>
          </w:tcPr>
          <w:p>
            <w:pPr>
              <w:spacing w:after="80" w:before="80"/>
            </w:pPr>
            <w:r>
              <w:rPr>
                <w:b w:val="0"/>
                <w:sz w:val="18"/>
              </w:rPr>
              <w:t>eCRF</w:t>
            </w:r>
          </w:p>
        </w:tc>
        <w:tc>
          <w:tcPr>
            <w:tcW w:type="dxa" w:w="4968"/>
          </w:tcPr>
          <w:p>
            <w:pPr>
              <w:spacing w:after="80" w:before="80"/>
            </w:pPr>
            <w:r>
              <w:rPr>
                <w:b w:val="0"/>
                <w:sz w:val="18"/>
              </w:rPr>
              <w:t>Electronic Case Report Form</w:t>
            </w:r>
          </w:p>
        </w:tc>
      </w:tr>
      <w:tr>
        <w:trPr>
          <w:cantSplit/>
        </w:trPr>
        <w:tc>
          <w:tcPr>
            <w:tcW w:type="dxa" w:w="4968"/>
          </w:tcPr>
          <w:p>
            <w:pPr>
              <w:spacing w:after="80" w:before="80"/>
            </w:pPr>
            <w:r>
              <w:rPr>
                <w:b w:val="0"/>
                <w:sz w:val="18"/>
              </w:rPr>
              <w:t>EOT</w:t>
            </w:r>
          </w:p>
        </w:tc>
        <w:tc>
          <w:tcPr>
            <w:tcW w:type="dxa" w:w="4968"/>
          </w:tcPr>
          <w:p>
            <w:pPr>
              <w:spacing w:after="80" w:before="80"/>
            </w:pPr>
            <w:r>
              <w:rPr>
                <w:b w:val="0"/>
                <w:sz w:val="18"/>
              </w:rPr>
              <w:t>End of Treatment</w:t>
            </w:r>
          </w:p>
        </w:tc>
      </w:tr>
      <w:tr>
        <w:trPr>
          <w:cantSplit/>
        </w:trPr>
        <w:tc>
          <w:tcPr>
            <w:tcW w:type="dxa" w:w="4968"/>
          </w:tcPr>
          <w:p>
            <w:pPr>
              <w:spacing w:after="80" w:before="80"/>
            </w:pPr>
            <w:r>
              <w:rPr>
                <w:b w:val="0"/>
                <w:sz w:val="18"/>
              </w:rPr>
              <w:t>FAS</w:t>
            </w:r>
          </w:p>
        </w:tc>
        <w:tc>
          <w:tcPr>
            <w:tcW w:type="dxa" w:w="4968"/>
          </w:tcPr>
          <w:p>
            <w:pPr>
              <w:spacing w:after="80" w:before="80"/>
            </w:pPr>
            <w:r>
              <w:rPr>
                <w:b w:val="0"/>
                <w:sz w:val="18"/>
              </w:rPr>
              <w:t>Full Analysis Set</w:t>
            </w:r>
          </w:p>
        </w:tc>
      </w:tr>
      <w:tr>
        <w:trPr>
          <w:cantSplit/>
        </w:trPr>
        <w:tc>
          <w:tcPr>
            <w:tcW w:type="dxa" w:w="4968"/>
          </w:tcPr>
          <w:p>
            <w:pPr>
              <w:spacing w:after="80" w:before="80"/>
            </w:pPr>
            <w:r>
              <w:rPr>
                <w:b w:val="0"/>
                <w:sz w:val="18"/>
              </w:rPr>
              <w:t>ICE</w:t>
            </w:r>
          </w:p>
        </w:tc>
        <w:tc>
          <w:tcPr>
            <w:tcW w:type="dxa" w:w="4968"/>
          </w:tcPr>
          <w:p>
            <w:pPr>
              <w:spacing w:after="80" w:before="80"/>
            </w:pPr>
            <w:r>
              <w:rPr>
                <w:b w:val="0"/>
                <w:sz w:val="18"/>
              </w:rPr>
              <w:t>Intercurrent Event</w:t>
            </w:r>
          </w:p>
        </w:tc>
      </w:tr>
      <w:tr>
        <w:trPr>
          <w:cantSplit/>
        </w:trPr>
        <w:tc>
          <w:tcPr>
            <w:tcW w:type="dxa" w:w="4968"/>
          </w:tcPr>
          <w:p>
            <w:pPr>
              <w:spacing w:after="80" w:before="80"/>
            </w:pPr>
            <w:r>
              <w:rPr>
                <w:b w:val="0"/>
                <w:sz w:val="18"/>
              </w:rPr>
              <w:t>ICH</w:t>
            </w:r>
          </w:p>
        </w:tc>
        <w:tc>
          <w:tcPr>
            <w:tcW w:type="dxa" w:w="4968"/>
          </w:tcPr>
          <w:p>
            <w:pPr>
              <w:spacing w:after="80" w:before="80"/>
            </w:pPr>
            <w:r>
              <w:rPr>
                <w:b w:val="0"/>
                <w:sz w:val="18"/>
              </w:rPr>
              <w:t>International Council for Harmonisation of Technical Requirements for Pharmaceuticals for Human Use</w:t>
            </w:r>
          </w:p>
        </w:tc>
      </w:tr>
      <w:tr>
        <w:trPr>
          <w:cantSplit/>
        </w:trPr>
        <w:tc>
          <w:tcPr>
            <w:tcW w:type="dxa" w:w="4968"/>
          </w:tcPr>
          <w:p>
            <w:pPr>
              <w:spacing w:after="80" w:before="80"/>
            </w:pPr>
            <w:r>
              <w:rPr>
                <w:b w:val="0"/>
                <w:sz w:val="18"/>
              </w:rPr>
              <w:t>IP</w:t>
            </w:r>
          </w:p>
        </w:tc>
        <w:tc>
          <w:tcPr>
            <w:tcW w:type="dxa" w:w="4968"/>
          </w:tcPr>
          <w:p>
            <w:pPr>
              <w:spacing w:after="80" w:before="80"/>
            </w:pPr>
            <w:r>
              <w:rPr>
                <w:b w:val="0"/>
                <w:sz w:val="18"/>
              </w:rPr>
              <w:t>Investigational Product</w:t>
            </w:r>
          </w:p>
        </w:tc>
      </w:tr>
      <w:tr>
        <w:trPr>
          <w:cantSplit/>
        </w:trPr>
        <w:tc>
          <w:tcPr>
            <w:tcW w:type="dxa" w:w="4968"/>
          </w:tcPr>
          <w:p>
            <w:pPr>
              <w:spacing w:after="80" w:before="80"/>
            </w:pPr>
            <w:r>
              <w:rPr>
                <w:b w:val="0"/>
                <w:sz w:val="18"/>
              </w:rPr>
              <w:t>IRT</w:t>
            </w:r>
          </w:p>
        </w:tc>
        <w:tc>
          <w:tcPr>
            <w:tcW w:type="dxa" w:w="4968"/>
          </w:tcPr>
          <w:p>
            <w:pPr>
              <w:spacing w:after="80" w:before="80"/>
            </w:pPr>
            <w:r>
              <w:rPr>
                <w:b w:val="0"/>
                <w:sz w:val="18"/>
              </w:rPr>
              <w:t>Interactive Response Technology (e.g., IVRS/IWRS)</w:t>
            </w:r>
          </w:p>
        </w:tc>
      </w:tr>
      <w:tr>
        <w:trPr>
          <w:cantSplit/>
        </w:trPr>
        <w:tc>
          <w:tcPr>
            <w:tcW w:type="dxa" w:w="4968"/>
          </w:tcPr>
          <w:p>
            <w:pPr>
              <w:spacing w:after="80" w:before="80"/>
            </w:pPr>
            <w:r>
              <w:rPr>
                <w:b w:val="0"/>
                <w:sz w:val="18"/>
              </w:rPr>
              <w:t>ITT</w:t>
            </w:r>
          </w:p>
        </w:tc>
        <w:tc>
          <w:tcPr>
            <w:tcW w:type="dxa" w:w="4968"/>
          </w:tcPr>
          <w:p>
            <w:pPr>
              <w:spacing w:after="80" w:before="80"/>
            </w:pPr>
            <w:r>
              <w:rPr>
                <w:b w:val="0"/>
                <w:sz w:val="18"/>
              </w:rPr>
              <w:t>Intent-to-Treat</w:t>
            </w:r>
          </w:p>
        </w:tc>
      </w:tr>
      <w:tr>
        <w:trPr>
          <w:cantSplit/>
        </w:trPr>
        <w:tc>
          <w:tcPr>
            <w:tcW w:type="dxa" w:w="4968"/>
          </w:tcPr>
          <w:p>
            <w:pPr>
              <w:spacing w:after="80" w:before="80"/>
            </w:pPr>
            <w:r>
              <w:rPr>
                <w:b w:val="0"/>
                <w:sz w:val="18"/>
              </w:rPr>
              <w:t>LOCF</w:t>
            </w:r>
          </w:p>
        </w:tc>
        <w:tc>
          <w:tcPr>
            <w:tcW w:type="dxa" w:w="4968"/>
          </w:tcPr>
          <w:p>
            <w:pPr>
              <w:spacing w:after="80" w:before="80"/>
            </w:pPr>
            <w:r>
              <w:rPr>
                <w:b w:val="0"/>
                <w:sz w:val="18"/>
              </w:rPr>
              <w:t>Last Observation Carried Forward</w:t>
            </w:r>
          </w:p>
        </w:tc>
      </w:tr>
      <w:tr>
        <w:trPr>
          <w:cantSplit/>
        </w:trPr>
        <w:tc>
          <w:tcPr>
            <w:tcW w:type="dxa" w:w="4968"/>
          </w:tcPr>
          <w:p>
            <w:pPr>
              <w:spacing w:after="80" w:before="80"/>
            </w:pPr>
            <w:r>
              <w:rPr>
                <w:b w:val="0"/>
                <w:sz w:val="18"/>
              </w:rPr>
              <w:t>MAR</w:t>
            </w:r>
          </w:p>
        </w:tc>
        <w:tc>
          <w:tcPr>
            <w:tcW w:type="dxa" w:w="4968"/>
          </w:tcPr>
          <w:p>
            <w:pPr>
              <w:spacing w:after="80" w:before="80"/>
            </w:pPr>
            <w:r>
              <w:rPr>
                <w:b w:val="0"/>
                <w:sz w:val="18"/>
              </w:rPr>
              <w:t>Missing at Random</w:t>
            </w:r>
          </w:p>
        </w:tc>
      </w:tr>
      <w:tr>
        <w:trPr>
          <w:cantSplit/>
        </w:trPr>
        <w:tc>
          <w:tcPr>
            <w:tcW w:type="dxa" w:w="4968"/>
          </w:tcPr>
          <w:p>
            <w:pPr>
              <w:spacing w:after="80" w:before="80"/>
            </w:pPr>
            <w:r>
              <w:rPr>
                <w:b w:val="0"/>
                <w:sz w:val="18"/>
              </w:rPr>
              <w:t>MedDRA</w:t>
            </w:r>
          </w:p>
        </w:tc>
        <w:tc>
          <w:tcPr>
            <w:tcW w:type="dxa" w:w="4968"/>
          </w:tcPr>
          <w:p>
            <w:pPr>
              <w:spacing w:after="80" w:before="80"/>
            </w:pPr>
            <w:r>
              <w:rPr>
                <w:b w:val="0"/>
                <w:sz w:val="18"/>
              </w:rPr>
              <w:t>Medical Dictionary for Regulatory Activities</w:t>
            </w:r>
          </w:p>
        </w:tc>
      </w:tr>
      <w:tr>
        <w:trPr>
          <w:cantSplit/>
        </w:trPr>
        <w:tc>
          <w:tcPr>
            <w:tcW w:type="dxa" w:w="4968"/>
          </w:tcPr>
          <w:p>
            <w:pPr>
              <w:spacing w:after="80" w:before="80"/>
            </w:pPr>
            <w:r>
              <w:rPr>
                <w:b w:val="0"/>
                <w:sz w:val="18"/>
              </w:rPr>
              <w:t>MI</w:t>
            </w:r>
          </w:p>
        </w:tc>
        <w:tc>
          <w:tcPr>
            <w:tcW w:type="dxa" w:w="4968"/>
          </w:tcPr>
          <w:p>
            <w:pPr>
              <w:spacing w:after="80" w:before="80"/>
            </w:pPr>
            <w:r>
              <w:rPr>
                <w:b w:val="0"/>
                <w:sz w:val="18"/>
              </w:rPr>
              <w:t>Multiple Imputation</w:t>
            </w:r>
          </w:p>
        </w:tc>
      </w:tr>
      <w:tr>
        <w:trPr>
          <w:cantSplit/>
        </w:trPr>
        <w:tc>
          <w:tcPr>
            <w:tcW w:type="dxa" w:w="4968"/>
          </w:tcPr>
          <w:p>
            <w:pPr>
              <w:spacing w:after="80" w:before="80"/>
            </w:pPr>
            <w:r>
              <w:rPr>
                <w:b w:val="0"/>
                <w:sz w:val="18"/>
              </w:rPr>
              <w:t>MNAR</w:t>
            </w:r>
          </w:p>
        </w:tc>
        <w:tc>
          <w:tcPr>
            <w:tcW w:type="dxa" w:w="4968"/>
          </w:tcPr>
          <w:p>
            <w:pPr>
              <w:spacing w:after="80" w:before="80"/>
            </w:pPr>
            <w:r>
              <w:rPr>
                <w:b w:val="0"/>
                <w:sz w:val="18"/>
              </w:rPr>
              <w:t>Missing Not at Random</w:t>
            </w:r>
          </w:p>
        </w:tc>
      </w:tr>
      <w:tr>
        <w:trPr>
          <w:cantSplit/>
        </w:trPr>
        <w:tc>
          <w:tcPr>
            <w:tcW w:type="dxa" w:w="4968"/>
          </w:tcPr>
          <w:p>
            <w:pPr>
              <w:spacing w:after="80" w:before="80"/>
            </w:pPr>
            <w:r>
              <w:rPr>
                <w:b w:val="0"/>
                <w:sz w:val="18"/>
              </w:rPr>
              <w:t>PP</w:t>
            </w:r>
          </w:p>
        </w:tc>
        <w:tc>
          <w:tcPr>
            <w:tcW w:type="dxa" w:w="4968"/>
          </w:tcPr>
          <w:p>
            <w:pPr>
              <w:spacing w:after="80" w:before="80"/>
            </w:pPr>
            <w:r>
              <w:rPr>
                <w:b w:val="0"/>
                <w:sz w:val="18"/>
              </w:rPr>
              <w:t>Per-Protocol</w:t>
            </w:r>
          </w:p>
        </w:tc>
      </w:tr>
      <w:tr>
        <w:trPr>
          <w:cantSplit/>
        </w:trPr>
        <w:tc>
          <w:tcPr>
            <w:tcW w:type="dxa" w:w="4968"/>
          </w:tcPr>
          <w:p>
            <w:pPr>
              <w:spacing w:after="80" w:before="80"/>
            </w:pPr>
            <w:r>
              <w:rPr>
                <w:b w:val="0"/>
                <w:sz w:val="18"/>
              </w:rPr>
              <w:t>SAE</w:t>
            </w:r>
          </w:p>
        </w:tc>
        <w:tc>
          <w:tcPr>
            <w:tcW w:type="dxa" w:w="4968"/>
          </w:tcPr>
          <w:p>
            <w:pPr>
              <w:spacing w:after="80" w:before="80"/>
            </w:pPr>
            <w:r>
              <w:rPr>
                <w:b w:val="0"/>
                <w:sz w:val="18"/>
              </w:rPr>
              <w:t>Serious Adverse Event</w:t>
            </w:r>
          </w:p>
        </w:tc>
      </w:tr>
      <w:tr>
        <w:trPr>
          <w:cantSplit/>
        </w:trPr>
        <w:tc>
          <w:tcPr>
            <w:tcW w:type="dxa" w:w="4968"/>
          </w:tcPr>
          <w:p>
            <w:pPr>
              <w:spacing w:after="80" w:before="80"/>
            </w:pPr>
            <w:r>
              <w:rPr>
                <w:b w:val="0"/>
                <w:sz w:val="18"/>
              </w:rPr>
              <w:t>SAP</w:t>
            </w:r>
          </w:p>
        </w:tc>
        <w:tc>
          <w:tcPr>
            <w:tcW w:type="dxa" w:w="4968"/>
          </w:tcPr>
          <w:p>
            <w:pPr>
              <w:spacing w:after="80" w:before="80"/>
            </w:pPr>
            <w:r>
              <w:rPr>
                <w:b w:val="0"/>
                <w:sz w:val="18"/>
              </w:rPr>
              <w:t>Statistical Analysis Plan</w:t>
            </w:r>
          </w:p>
        </w:tc>
      </w:tr>
      <w:tr>
        <w:trPr>
          <w:cantSplit/>
        </w:trPr>
        <w:tc>
          <w:tcPr>
            <w:tcW w:type="dxa" w:w="4968"/>
          </w:tcPr>
          <w:p>
            <w:pPr>
              <w:spacing w:after="80" w:before="80"/>
            </w:pPr>
            <w:r>
              <w:rPr>
                <w:b w:val="0"/>
                <w:sz w:val="18"/>
              </w:rPr>
              <w:t>SD</w:t>
            </w:r>
          </w:p>
        </w:tc>
        <w:tc>
          <w:tcPr>
            <w:tcW w:type="dxa" w:w="4968"/>
          </w:tcPr>
          <w:p>
            <w:pPr>
              <w:spacing w:after="80" w:before="80"/>
            </w:pPr>
            <w:r>
              <w:rPr>
                <w:b w:val="0"/>
                <w:sz w:val="18"/>
              </w:rPr>
              <w:t>Standard Deviation</w:t>
            </w:r>
          </w:p>
        </w:tc>
      </w:tr>
      <w:tr>
        <w:trPr>
          <w:cantSplit/>
        </w:trPr>
        <w:tc>
          <w:tcPr>
            <w:tcW w:type="dxa" w:w="4968"/>
          </w:tcPr>
          <w:p>
            <w:pPr>
              <w:spacing w:after="80" w:before="80"/>
            </w:pPr>
            <w:r>
              <w:rPr>
                <w:b w:val="0"/>
                <w:sz w:val="18"/>
              </w:rPr>
              <w:t>TLF</w:t>
            </w:r>
          </w:p>
        </w:tc>
        <w:tc>
          <w:tcPr>
            <w:tcW w:type="dxa" w:w="4968"/>
          </w:tcPr>
          <w:p>
            <w:pPr>
              <w:spacing w:after="80" w:before="80"/>
            </w:pPr>
            <w:r>
              <w:rPr>
                <w:b w:val="0"/>
                <w:sz w:val="18"/>
              </w:rPr>
              <w:t>Tables, Listings, and Figures</w:t>
            </w:r>
          </w:p>
        </w:tc>
      </w:tr>
    </w:tbl>
    <w:p>
      <w:pPr>
        <w:spacing w:after="0"/>
      </w:pPr>
    </w:p>
    <w:p>
      <w:pPr>
        <w:pStyle w:val="Heading2"/>
        <w:widowControl/>
      </w:pPr>
      <w:r>
        <w:rPr>
          <w:i w:val="0"/>
        </w:rPr>
        <w:t>2.2 Definitions of Key Terms</w:t>
      </w:r>
    </w:p>
    <w:p>
      <w:pPr>
        <w:widowControl/>
      </w:pPr>
      <w:r>
        <w:rPr>
          <w:b/>
          <w:i w:val="0"/>
        </w:rPr>
        <w:t>Estimand:</w:t>
      </w:r>
      <w:r>
        <w:rPr>
          <w:i w:val="0"/>
        </w:rPr>
        <w:t xml:space="preserve"> A precise description of the treatment effect reflecting the clinical question posed by a trial objective. It characterizes, at a population level, the treatment effect to be estimated, specifying the target population, the variable (endpoint) of interest, the handling of intercurrent events, and the population-level summary measure.</w:t>
      </w:r>
    </w:p>
    <w:p>
      <w:pPr>
        <w:pStyle w:val="ListBullet"/>
        <w:widowControl/>
      </w:pPr>
      <w:r>
        <w:rPr>
          <w:b/>
          <w:i w:val="0"/>
        </w:rPr>
        <w:t>Intercurrent Event (ICE):</w:t>
      </w:r>
      <w:r>
        <w:rPr>
          <w:i w:val="0"/>
        </w:rPr>
        <w:t xml:space="preserve"> An event occurring after treatment initiation that affects either the interpretation or the existence of the measurements associated with the clinical question of interest. Examples include discontinuation of the investigational product, use of rescue medication, or death.</w:t>
      </w:r>
    </w:p>
    <w:p>
      <w:pPr>
        <w:pStyle w:val="ListBullet"/>
        <w:widowControl/>
      </w:pPr>
      <w:r>
        <w:rPr>
          <w:b/>
          <w:i w:val="0"/>
        </w:rPr>
        <w:t>Intention-to-Treat (ITT) Principle:</w:t>
      </w:r>
      <w:r>
        <w:rPr>
          <w:i w:val="0"/>
        </w:rPr>
        <w:t xml:space="preserve"> The principle that asserts that the effect of a treatment policy should be assessed by including all randomized subjects in the analysis, maintained in the group to which they were originally assigned, regardless of adherence to the protocol or treatment received.</w:t>
      </w:r>
    </w:p>
    <w:p>
      <w:pPr>
        <w:pStyle w:val="ListBullet"/>
        <w:widowControl/>
      </w:pPr>
      <w:r>
        <w:rPr>
          <w:b/>
          <w:i w:val="0"/>
        </w:rPr>
        <w:t>Missing Data:</w:t>
      </w:r>
      <w:r>
        <w:rPr>
          <w:i w:val="0"/>
        </w:rPr>
        <w:t xml:space="preserve"> Data that would be meaningful for the analysis of a given estimand but were not collected. This is distinct from data that are not collected as a consequence of an intercurrent event when such an event is accounted for by the estimand's strategy (e.g., in a "while on treatment" strategy, data after the ICE are not considered missing).</w:t>
      </w:r>
    </w:p>
    <w:p>
      <w:pPr>
        <w:pStyle w:val="Heading1"/>
        <w:widowControl/>
      </w:pPr>
      <w:r>
        <w:rPr>
          <w:i w:val="0"/>
        </w:rPr>
        <w:t>3.0 Introduction</w:t>
      </w:r>
    </w:p>
    <w:p>
      <w:pPr>
        <w:widowControl/>
      </w:pPr>
      <w:r>
        <w:rPr>
          <w:i w:val="0"/>
        </w:rPr>
        <w:t>This Statistical Analysis Plan (SAP) provides a comprehensive and detailed description of the statistical methods and analyses to be performed for Protocol [Protocol Number]. This document describes the planned analyses of the data collected within this study to meet the specified primary, secondary, and exploratory objectives.</w:t>
      </w:r>
    </w:p>
    <w:p>
      <w:pPr>
        <w:widowControl/>
      </w:pPr>
      <w:r>
        <w:rPr>
          <w:i w:val="0"/>
        </w:rPr>
        <w:t xml:space="preserve">This SAP is based on Protocol Version [X.X] dated </w:t>
      </w:r>
      <w:r>
        <w:rPr/>
        <w:t>[Specify]</w:t>
      </w:r>
      <w:r>
        <w:rPr>
          <w:i w:val="0"/>
        </w:rPr>
        <w:t xml:space="preserve"> and has been developed in accordance with the principles outlined in the International Council for Harmonisation (ICH) E9: Statistical Principles for Clinical Trials, and the ICH E9(R1) Addendum: Estimands and Sensitivity Analysis in Clinical Trials.</w:t>
      </w:r>
      <w:r>
        <w:rPr>
          <w:i w:val="0"/>
        </w:rPr>
        <w:t xml:space="preserve"> It is a key component of the clinical trial documentation and should be read in conjunction with the study protocol.</w:t>
      </w:r>
    </w:p>
    <w:p>
      <w:pPr>
        <w:widowControl/>
      </w:pPr>
      <w:r>
        <w:rPr>
          <w:i w:val="0"/>
        </w:rPr>
        <w:t>The primary purpose of a pre-specified SAP is to minimize analytical bias by defining the analytical approach before the data are available for unblinded review.</w:t>
      </w:r>
      <w:r>
        <w:rPr>
          <w:i w:val="0"/>
        </w:rPr>
        <w:t xml:space="preserve"> Therefore, the analyses described herein will be finalized and approved prior to database lock and unblinding of the study data to prevent analysis decisions from being influenced by the results.</w:t>
      </w:r>
    </w:p>
    <w:p>
      <w:pPr>
        <w:pStyle w:val="Heading1"/>
        <w:widowControl/>
      </w:pPr>
      <w:r>
        <w:rPr>
          <w:i w:val="0"/>
        </w:rPr>
        <w:t>4.0 Study Objectives</w:t>
      </w:r>
    </w:p>
    <w:p>
      <w:pPr>
        <w:pStyle w:val="Heading2"/>
        <w:widowControl/>
      </w:pPr>
      <w:r>
        <w:rPr>
          <w:i w:val="0"/>
        </w:rPr>
        <w:t>4.1 Primary Objective(s)</w:t>
      </w:r>
    </w:p>
    <w:p>
      <w:pPr>
        <w:pStyle w:val="ListBullet"/>
        <w:widowControl/>
      </w:pPr>
      <w:r>
        <w:rPr>
          <w:i w:val="0"/>
        </w:rPr>
        <w:t>[Copy verbatim the primary objective(s) from the protocol.</w:t>
      </w:r>
      <w:r>
        <w:rPr/>
        <w:t>]</w:t>
      </w:r>
    </w:p>
    <w:p>
      <w:pPr>
        <w:pStyle w:val="Heading2"/>
        <w:widowControl/>
      </w:pPr>
      <w:r>
        <w:rPr>
          <w:i w:val="0"/>
        </w:rPr>
        <w:t>4.2 Secondary Objective(s)</w:t>
      </w:r>
    </w:p>
    <w:p>
      <w:pPr>
        <w:pStyle w:val="ListBullet"/>
        <w:widowControl/>
      </w:pPr>
      <w:r>
        <w:rPr>
          <w:i w:val="0"/>
        </w:rPr>
        <w:t>[Copy verbatim the secondary objective(s) from the protocol.</w:t>
      </w:r>
      <w:r>
        <w:rPr/>
        <w:t>]</w:t>
      </w:r>
    </w:p>
    <w:p>
      <w:pPr>
        <w:pStyle w:val="Heading2"/>
        <w:widowControl/>
      </w:pPr>
      <w:r>
        <w:rPr>
          <w:i w:val="0"/>
        </w:rPr>
        <w:t>4.3 Exploratory Objective(s)</w:t>
      </w:r>
    </w:p>
    <w:p>
      <w:pPr>
        <w:pStyle w:val="ListBullet"/>
        <w:widowControl/>
      </w:pPr>
      <w:r>
        <w:rPr>
          <w:i w:val="0"/>
        </w:rPr>
        <w:t>[Copy verbatim the exploratory objective(s) from the protocol.</w:t>
      </w:r>
      <w:r>
        <w:rPr/>
        <w:t>]</w:t>
      </w:r>
    </w:p>
    <w:p>
      <w:pPr>
        <w:pStyle w:val="Heading1"/>
        <w:widowControl/>
      </w:pPr>
      <w:r>
        <w:rPr>
          <w:i w:val="0"/>
        </w:rPr>
        <w:t>5.0 The Estimand Framework: Defining the Treatment Effect of Interest</w:t>
      </w:r>
    </w:p>
    <w:p>
      <w:pPr>
        <w:widowControl/>
      </w:pPr>
      <w:r>
        <w:rPr>
          <w:i w:val="0"/>
        </w:rPr>
        <w:t>The estimand serves as the central organizing principle for the trial, as the choices made here directly dictate the necessary trial design, data collection procedures, and analytical methods.</w:t>
      </w:r>
    </w:p>
    <w:p>
      <w:pPr>
        <w:pStyle w:val="Heading2"/>
        <w:widowControl/>
      </w:pPr>
      <w:r>
        <w:rPr>
          <w:i w:val="0"/>
        </w:rPr>
        <w:t>5.1 Identification of Intercurrent Events (ICEs)</w:t>
      </w:r>
    </w:p>
    <w:p>
      <w:pPr>
        <w:widowControl/>
      </w:pPr>
      <w:r>
        <w:rPr>
          <w:i w:val="0"/>
        </w:rPr>
        <w:t>The following potential intercurrent events have been identified for this study:</w:t>
      </w:r>
    </w:p>
    <w:p>
      <w:pPr>
        <w:pStyle w:val="ListBullet"/>
        <w:widowControl/>
      </w:pPr>
      <w:r>
        <w:rPr>
          <w:b/>
          <w:i w:val="0"/>
        </w:rPr>
        <w:t>Discontinuation of investigational product (IP):</w:t>
      </w:r>
      <w:r>
        <w:rPr>
          <w:i w:val="0"/>
        </w:rPr>
        <w:t xml:space="preserve"> A subject stops taking the assigned IP for any reason, including but not limited to adverse event, perceived lack of efficacy, or patient decision.</w:t>
      </w:r>
    </w:p>
    <w:p>
      <w:pPr>
        <w:pStyle w:val="ListBullet"/>
        <w:widowControl/>
      </w:pPr>
      <w:r>
        <w:rPr>
          <w:b/>
          <w:i w:val="0"/>
        </w:rPr>
        <w:t>Initiation of rescue medication:</w:t>
      </w:r>
      <w:r>
        <w:rPr>
          <w:i w:val="0"/>
        </w:rPr>
        <w:t xml:space="preserve"> A subject initiates a protocol-defined (or prohibited) rescue medication or alternative therapy to manage symptoms or the underlying condition. </w:t>
      </w:r>
      <w:r>
        <w:rPr/>
        <w:t>[Specify]</w:t>
      </w:r>
    </w:p>
    <w:p>
      <w:pPr>
        <w:pStyle w:val="ListBullet"/>
        <w:widowControl/>
      </w:pPr>
      <w:r>
        <w:rPr>
          <w:b/>
          <w:i w:val="0"/>
        </w:rPr>
        <w:t>Death:</w:t>
      </w:r>
      <w:r>
        <w:rPr>
          <w:i w:val="0"/>
        </w:rPr>
        <w:t xml:space="preserve"> A subject dies during the study. Death can be an ICE if it is not the primary outcome itself, as it prevents the observation of the planned endpoint.</w:t>
      </w:r>
    </w:p>
    <w:p>
      <w:pPr>
        <w:pStyle w:val="ListBullet"/>
        <w:widowControl/>
      </w:pPr>
      <w:r>
        <w:rPr>
          <w:b/>
          <w:i w:val="0"/>
        </w:rPr>
        <w:t>Major non-adherence to IP:</w:t>
      </w:r>
      <w:r>
        <w:rPr>
          <w:i w:val="0"/>
        </w:rPr>
        <w:t xml:space="preserve"> A subject's adherence to the assigned IP falls below a pre-specified threshold (e.g., &lt;80% of prescribed doses). </w:t>
      </w:r>
      <w:r>
        <w:rPr/>
        <w:t>[Specify]</w:t>
      </w:r>
    </w:p>
    <w:p>
      <w:pPr>
        <w:pStyle w:val="ListBullet"/>
        <w:widowControl/>
      </w:pPr>
      <w:r>
        <w:rPr/>
        <w:t>Study withdrawal: Withdrawal from follow-up can cause missing data. Distinguish it from treatment discontinuation, which may be an intercurrent event. Define the required observations and missing-data approach separately for each estimand. [ICH E9(R1), A.1]</w:t>
      </w:r>
    </w:p>
    <w:p>
      <w:pPr>
        <w:pStyle w:val="Heading2"/>
        <w:widowControl/>
      </w:pPr>
      <w:r>
        <w:rPr>
          <w:i w:val="0"/>
        </w:rPr>
        <w:t>5.2 Primary Estimand</w:t>
      </w:r>
    </w:p>
    <w:p>
      <w:pPr>
        <w:widowControl/>
      </w:pPr>
      <w:r>
        <w:rPr>
          <w:b/>
          <w:i w:val="0"/>
        </w:rPr>
        <w:t>Estimand for the Primary Objective:</w:t>
      </w:r>
      <w:r>
        <w:rPr>
          <w:i w:val="0"/>
        </w:rPr>
        <w:t xml:space="preserve"> </w:t>
      </w:r>
      <w:r>
        <w:rPr/>
        <w:t>[Specify]</w:t>
      </w:r>
    </w:p>
    <w:p>
      <w:pPr>
        <w:pStyle w:val="ListBullet"/>
        <w:widowControl/>
      </w:pPr>
      <w:r>
        <w:rPr>
          <w:b/>
          <w:i w:val="0"/>
        </w:rPr>
        <w:t>Treatment:</w:t>
      </w:r>
      <w:r>
        <w:rPr>
          <w:i w:val="0"/>
        </w:rPr>
        <w:t xml:space="preserve"> The treatment effect of interest is the comparison between [Investigational Product X at dose Y] and [Comparator, e.g., Placebo or Active Control].</w:t>
      </w:r>
    </w:p>
    <w:p>
      <w:pPr>
        <w:pStyle w:val="ListBullet"/>
        <w:widowControl/>
      </w:pPr>
      <w:r>
        <w:rPr>
          <w:b/>
          <w:i w:val="0"/>
        </w:rPr>
        <w:t>Population:</w:t>
      </w:r>
      <w:r>
        <w:rPr>
          <w:i w:val="0"/>
        </w:rPr>
        <w:t xml:space="preserve"> The target population is [e.g., All randomized patients meeting the key inclusion/exclusion criteria].</w:t>
      </w:r>
    </w:p>
    <w:p>
      <w:pPr>
        <w:pStyle w:val="ListBullet"/>
        <w:widowControl/>
      </w:pPr>
      <w:r>
        <w:rPr>
          <w:b/>
          <w:i w:val="0"/>
        </w:rPr>
        <w:t>Variable (Endpoint):</w:t>
      </w:r>
      <w:r>
        <w:rPr>
          <w:i w:val="0"/>
        </w:rPr>
        <w:t xml:space="preserve"> The variable used to address the objective is the [e.g., change from baseline in the HbA1c level] measured at [e.g., Week 24].</w:t>
      </w:r>
    </w:p>
    <w:p>
      <w:pPr>
        <w:pStyle w:val="ListBullet"/>
        <w:widowControl/>
      </w:pPr>
      <w:r>
        <w:rPr>
          <w:b/>
          <w:i w:val="0"/>
        </w:rPr>
        <w:t>Intercurrent Events:</w:t>
      </w:r>
      <w:r>
        <w:rPr>
          <w:i w:val="0"/>
        </w:rPr>
        <w:t xml:space="preserve"> The strategies for handling the identified ICEs to reflect the scientific question are as follows:</w:t>
      </w:r>
    </w:p>
    <w:p>
      <w:pPr>
        <w:pStyle w:val="ListBullet2"/>
        <w:widowControl/>
      </w:pPr>
      <w:r>
        <w:rPr/>
        <w:t>For rescue medication: [Choose and justify a strategy aligned with the clinical question; describe required data and the corresponding estimation assumptions.</w:t>
      </w:r>
      <w:r>
        <w:rPr/>
        <w:t>]</w:t>
      </w:r>
    </w:p>
    <w:p>
      <w:pPr>
        <w:pStyle w:val="ListBullet2"/>
        <w:widowControl/>
      </w:pPr>
      <w:r>
        <w:rPr/>
        <w:t>For treatment discontinuation due to an adverse event: [Choose and justify the strategy. If using treatment policy, specify collection and use of relevant outcomes after discontinuation and how missing outcomes are addressed.</w:t>
      </w:r>
      <w:r>
        <w:rPr/>
        <w:t>]</w:t>
      </w:r>
    </w:p>
    <w:p>
      <w:pPr>
        <w:pStyle w:val="ListBullet2"/>
        <w:widowControl/>
      </w:pPr>
      <w:r>
        <w:rPr/>
        <w:t>For death before the planned outcome assessment: [Specify a clinically meaningful strategy and a compatible endpoint, summary measure and estimator. A post-death HbA1c value does not exist. Do not combine a time-to-event composite endpoint with a mean HbA1c contrast. Explain the chosen question and how death is reflected in it.</w:t>
      </w:r>
      <w:r>
        <w:rPr/>
        <w:t>]</w:t>
      </w:r>
    </w:p>
    <w:p>
      <w:pPr>
        <w:pStyle w:val="ListBullet"/>
        <w:widowControl/>
      </w:pPr>
      <w:r>
        <w:rPr>
          <w:b/>
          <w:i w:val="0"/>
        </w:rPr>
        <w:t>Population-Level Summary:</w:t>
      </w:r>
      <w:r>
        <w:rPr>
          <w:i w:val="0"/>
        </w:rPr>
        <w:t xml:space="preserve"> The population-level summary measure for the treatment comparison is the [e.g., difference in adjusted means of the change from baseline in HbA1c between treatment groups at Week 24].</w:t>
      </w:r>
    </w:p>
    <w:p>
      <w:pPr>
        <w:pStyle w:val="Heading2"/>
        <w:widowControl/>
      </w:pPr>
      <w:r>
        <w:rPr>
          <w:i w:val="0"/>
        </w:rPr>
        <w:t>5.3 Secondary Estimand(s)</w:t>
      </w:r>
    </w:p>
    <w:p>
      <w:pPr>
        <w:widowControl/>
      </w:pPr>
      <w:r>
        <w:rPr>
          <w:b/>
          <w:i w:val="0"/>
        </w:rPr>
        <w:t>Estimand for Secondary Objective:</w:t>
      </w:r>
      <w:r>
        <w:rPr>
          <w:i w:val="0"/>
        </w:rPr>
        <w:t xml:space="preserve"> </w:t>
      </w:r>
      <w:r>
        <w:rPr/>
        <w:t>[Specify]</w:t>
      </w:r>
    </w:p>
    <w:p>
      <w:pPr>
        <w:pStyle w:val="ListBullet"/>
        <w:widowControl/>
      </w:pPr>
      <w:r>
        <w:rPr>
          <w:b/>
          <w:i w:val="0"/>
        </w:rPr>
        <w:t>Treatment:</w:t>
      </w:r>
      <w:r>
        <w:rPr>
          <w:i w:val="0"/>
        </w:rPr>
        <w:t xml:space="preserve"> </w:t>
      </w:r>
      <w:r>
        <w:rPr/>
        <w:t>[Specify]</w:t>
      </w:r>
    </w:p>
    <w:p>
      <w:pPr>
        <w:pStyle w:val="ListBullet"/>
        <w:widowControl/>
      </w:pPr>
      <w:r>
        <w:rPr>
          <w:b/>
          <w:i w:val="0"/>
        </w:rPr>
        <w:t>Population:</w:t>
      </w:r>
      <w:r>
        <w:rPr>
          <w:i w:val="0"/>
        </w:rPr>
        <w:t xml:space="preserve"> </w:t>
      </w:r>
      <w:r>
        <w:rPr/>
        <w:t>[Specify]</w:t>
      </w:r>
    </w:p>
    <w:p>
      <w:pPr>
        <w:pStyle w:val="ListBullet"/>
        <w:widowControl/>
      </w:pPr>
      <w:r>
        <w:rPr>
          <w:b/>
          <w:i w:val="0"/>
        </w:rPr>
        <w:t>Variable (Endpoint):</w:t>
      </w:r>
      <w:r>
        <w:rPr>
          <w:i w:val="0"/>
        </w:rPr>
        <w:t xml:space="preserve"> </w:t>
      </w:r>
      <w:r>
        <w:rPr/>
        <w:t>[Specify]</w:t>
      </w:r>
    </w:p>
    <w:p>
      <w:pPr>
        <w:pStyle w:val="ListBullet"/>
        <w:widowControl/>
      </w:pPr>
      <w:r>
        <w:rPr>
          <w:b/>
          <w:i w:val="0"/>
        </w:rPr>
        <w:t>Intercurrent Events:</w:t>
      </w:r>
      <w:r>
        <w:rPr>
          <w:i w:val="0"/>
        </w:rPr>
        <w:t xml:space="preserve"> </w:t>
      </w:r>
      <w:r>
        <w:rPr/>
        <w:t>[Specify]</w:t>
      </w:r>
    </w:p>
    <w:p>
      <w:pPr>
        <w:pStyle w:val="ListBullet"/>
        <w:widowControl/>
      </w:pPr>
      <w:r>
        <w:rPr>
          <w:b/>
          <w:i w:val="0"/>
        </w:rPr>
        <w:t>Population-Level Summary:</w:t>
      </w:r>
      <w:r>
        <w:rPr>
          <w:i w:val="0"/>
        </w:rPr>
        <w:t xml:space="preserve"> </w:t>
      </w:r>
      <w:r>
        <w:rPr/>
        <w:t>[Specify]</w:t>
      </w:r>
    </w:p>
    <w:p>
      <w:pPr>
        <w:pStyle w:val="Heading2"/>
        <w:widowControl/>
      </w:pPr>
      <w:r>
        <w:rPr>
          <w:i w:val="0"/>
        </w:rPr>
        <w:t>5.4 Summary of Estimands</w:t>
      </w:r>
    </w:p>
    <w:p>
      <w:pPr>
        <w:widowControl/>
      </w:pPr>
      <w:r>
        <w:rPr>
          <w:b/>
          <w:i w:val="0"/>
        </w:rPr>
        <w:t>Table 1: Summary of Key Estimands</w:t>
      </w:r>
    </w:p>
    <w:tbl>
      <w:tblPr>
        <w:tblStyle w:val="TableGrid"/>
        <w:tblW w:type="auto" w:w="0"/>
        <w:tblLayout w:type="fixed"/>
        <w:tblLook w:firstColumn="1" w:firstRow="1" w:lastColumn="0" w:lastRow="0" w:noHBand="0" w:noVBand="1" w:val="04A0"/>
      </w:tblPr>
      <w:tblGrid>
        <w:gridCol w:w="1656"/>
        <w:gridCol w:w="1656"/>
        <w:gridCol w:w="1656"/>
        <w:gridCol w:w="1656"/>
        <w:gridCol w:w="1656"/>
        <w:gridCol w:w="1656"/>
      </w:tblGrid>
      <w:tr>
        <w:trPr>
          <w:cantSplit/>
          <w:tblHeader/>
        </w:trPr>
        <w:tc>
          <w:tcPr>
            <w:tcW w:type="dxa" w:w="1656"/>
            <w:shd w:fill="EEF2F6"/>
          </w:tcPr>
          <w:p>
            <w:pPr>
              <w:spacing w:after="80" w:before="80"/>
            </w:pPr>
            <w:r>
              <w:rPr>
                <w:b/>
                <w:sz w:val="18"/>
              </w:rPr>
              <w:t>Trial Objective</w:t>
            </w:r>
          </w:p>
        </w:tc>
        <w:tc>
          <w:tcPr>
            <w:tcW w:type="dxa" w:w="1656"/>
            <w:shd w:fill="EEF2F6"/>
          </w:tcPr>
          <w:p>
            <w:pPr>
              <w:spacing w:after="80" w:before="80"/>
            </w:pPr>
            <w:r>
              <w:rPr>
                <w:b/>
                <w:sz w:val="18"/>
              </w:rPr>
              <w:t>Estimand Name</w:t>
            </w:r>
          </w:p>
        </w:tc>
        <w:tc>
          <w:tcPr>
            <w:tcW w:type="dxa" w:w="1656"/>
            <w:shd w:fill="EEF2F6"/>
          </w:tcPr>
          <w:p>
            <w:pPr>
              <w:spacing w:after="80" w:before="80"/>
            </w:pPr>
            <w:r>
              <w:rPr>
                <w:b/>
                <w:sz w:val="18"/>
              </w:rPr>
              <w:t>Population</w:t>
            </w:r>
          </w:p>
        </w:tc>
        <w:tc>
          <w:tcPr>
            <w:tcW w:type="dxa" w:w="1656"/>
            <w:shd w:fill="EEF2F6"/>
          </w:tcPr>
          <w:p>
            <w:pPr>
              <w:spacing w:after="80" w:before="80"/>
            </w:pPr>
            <w:r>
              <w:rPr>
                <w:b/>
                <w:sz w:val="18"/>
              </w:rPr>
              <w:t>Variable (Endpoint)</w:t>
            </w:r>
          </w:p>
        </w:tc>
        <w:tc>
          <w:tcPr>
            <w:tcW w:type="dxa" w:w="1656"/>
            <w:shd w:fill="EEF2F6"/>
          </w:tcPr>
          <w:p>
            <w:pPr>
              <w:spacing w:after="80" w:before="80"/>
            </w:pPr>
            <w:r>
              <w:rPr>
                <w:b/>
                <w:sz w:val="18"/>
              </w:rPr>
              <w:t>Intercurrent Event(s) &amp; Strategy</w:t>
            </w:r>
          </w:p>
        </w:tc>
        <w:tc>
          <w:tcPr>
            <w:tcW w:type="dxa" w:w="1656"/>
            <w:shd w:fill="EEF2F6"/>
          </w:tcPr>
          <w:p>
            <w:pPr>
              <w:spacing w:after="80" w:before="80"/>
            </w:pPr>
            <w:r>
              <w:rPr>
                <w:b/>
                <w:sz w:val="18"/>
              </w:rPr>
              <w:t>Population-Level Summary</w:t>
            </w:r>
          </w:p>
        </w:tc>
      </w:tr>
      <w:tr>
        <w:trPr>
          <w:cantSplit/>
        </w:trPr>
        <w:tc>
          <w:tcPr>
            <w:tcW w:type="dxa" w:w="1656"/>
          </w:tcPr>
          <w:p>
            <w:pPr>
              <w:spacing w:after="80" w:before="80"/>
            </w:pPr>
            <w:r>
              <w:rPr>
                <w:b w:val="0"/>
                <w:sz w:val="18"/>
              </w:rPr>
              <w:t>[Objective]</w:t>
            </w:r>
          </w:p>
        </w:tc>
        <w:tc>
          <w:tcPr>
            <w:tcW w:type="dxa" w:w="1656"/>
          </w:tcPr>
          <w:p>
            <w:pPr>
              <w:spacing w:after="80" w:before="80"/>
            </w:pPr>
            <w:r>
              <w:rPr>
                <w:b w:val="0"/>
                <w:sz w:val="18"/>
              </w:rPr>
              <w:t>[Estimand name]</w:t>
            </w:r>
          </w:p>
        </w:tc>
        <w:tc>
          <w:tcPr>
            <w:tcW w:type="dxa" w:w="1656"/>
          </w:tcPr>
          <w:p>
            <w:pPr>
              <w:spacing w:after="80" w:before="80"/>
            </w:pPr>
            <w:r>
              <w:rPr>
                <w:b w:val="0"/>
                <w:sz w:val="18"/>
              </w:rPr>
              <w:t>[Population]</w:t>
            </w:r>
          </w:p>
        </w:tc>
        <w:tc>
          <w:tcPr>
            <w:tcW w:type="dxa" w:w="1656"/>
          </w:tcPr>
          <w:p>
            <w:pPr>
              <w:spacing w:after="80" w:before="80"/>
            </w:pPr>
            <w:r>
              <w:rPr>
                <w:b w:val="0"/>
                <w:sz w:val="18"/>
              </w:rPr>
              <w:t>[Endpoint and time]</w:t>
            </w:r>
          </w:p>
        </w:tc>
        <w:tc>
          <w:tcPr>
            <w:tcW w:type="dxa" w:w="1656"/>
          </w:tcPr>
          <w:p>
            <w:pPr>
              <w:spacing w:after="80" w:before="80"/>
            </w:pPr>
            <w:r>
              <w:rPr>
                <w:b w:val="0"/>
                <w:sz w:val="18"/>
              </w:rPr>
              <w:t>[Events and justified strategies]</w:t>
            </w:r>
          </w:p>
        </w:tc>
        <w:tc>
          <w:tcPr>
            <w:tcW w:type="dxa" w:w="1656"/>
          </w:tcPr>
          <w:p>
            <w:pPr>
              <w:spacing w:after="80" w:before="80"/>
            </w:pPr>
            <w:r>
              <w:rPr>
                <w:b w:val="0"/>
                <w:sz w:val="18"/>
              </w:rPr>
              <w:t>[Compatible summary measure]</w:t>
            </w:r>
          </w:p>
        </w:tc>
      </w:tr>
      <w:tr>
        <w:trPr>
          <w:cantSplit/>
        </w:trPr>
        <w:tc>
          <w:tcPr>
            <w:tcW w:type="dxa" w:w="1656"/>
          </w:tcPr>
          <w:p>
            <w:pPr>
              <w:spacing w:after="80" w:before="80"/>
            </w:pPr>
            <w:r>
              <w:rPr>
                <w:b w:val="0"/>
                <w:sz w:val="18"/>
              </w:rPr>
              <w:t>[Objective]</w:t>
            </w:r>
          </w:p>
        </w:tc>
        <w:tc>
          <w:tcPr>
            <w:tcW w:type="dxa" w:w="1656"/>
          </w:tcPr>
          <w:p>
            <w:pPr>
              <w:spacing w:after="80" w:before="80"/>
            </w:pPr>
            <w:r>
              <w:rPr>
                <w:b w:val="0"/>
                <w:sz w:val="18"/>
              </w:rPr>
              <w:t>[Estimand name]</w:t>
            </w:r>
          </w:p>
        </w:tc>
        <w:tc>
          <w:tcPr>
            <w:tcW w:type="dxa" w:w="1656"/>
          </w:tcPr>
          <w:p>
            <w:pPr>
              <w:spacing w:after="80" w:before="80"/>
            </w:pPr>
            <w:r>
              <w:rPr>
                <w:b w:val="0"/>
                <w:sz w:val="18"/>
              </w:rPr>
              <w:t>[Population]</w:t>
            </w:r>
          </w:p>
        </w:tc>
        <w:tc>
          <w:tcPr>
            <w:tcW w:type="dxa" w:w="1656"/>
          </w:tcPr>
          <w:p>
            <w:pPr>
              <w:spacing w:after="80" w:before="80"/>
            </w:pPr>
            <w:r>
              <w:rPr>
                <w:b w:val="0"/>
                <w:sz w:val="18"/>
              </w:rPr>
              <w:t>[Endpoint and time]</w:t>
            </w:r>
          </w:p>
        </w:tc>
        <w:tc>
          <w:tcPr>
            <w:tcW w:type="dxa" w:w="1656"/>
          </w:tcPr>
          <w:p>
            <w:pPr>
              <w:spacing w:after="80" w:before="80"/>
            </w:pPr>
            <w:r>
              <w:rPr>
                <w:b w:val="0"/>
                <w:sz w:val="18"/>
              </w:rPr>
              <w:t>[Events and justified strategies]</w:t>
            </w:r>
          </w:p>
        </w:tc>
        <w:tc>
          <w:tcPr>
            <w:tcW w:type="dxa" w:w="1656"/>
          </w:tcPr>
          <w:p>
            <w:pPr>
              <w:spacing w:after="80" w:before="80"/>
            </w:pPr>
            <w:r>
              <w:rPr>
                <w:b w:val="0"/>
                <w:sz w:val="18"/>
              </w:rPr>
              <w:t>[Compatible summary measure]</w:t>
            </w:r>
          </w:p>
        </w:tc>
      </w:tr>
      <w:tr>
        <w:trPr>
          <w:cantSplit/>
        </w:trPr>
        <w:tc>
          <w:tcPr>
            <w:tcW w:type="dxa" w:w="1656"/>
          </w:tcPr>
          <w:p>
            <w:pPr>
              <w:spacing w:after="80" w:before="80"/>
            </w:pPr>
            <w:r>
              <w:rPr>
                <w:b w:val="0"/>
                <w:sz w:val="18"/>
              </w:rPr>
              <w:t>[Objective]</w:t>
            </w:r>
          </w:p>
        </w:tc>
        <w:tc>
          <w:tcPr>
            <w:tcW w:type="dxa" w:w="1656"/>
          </w:tcPr>
          <w:p>
            <w:pPr>
              <w:spacing w:after="80" w:before="80"/>
            </w:pPr>
            <w:r>
              <w:rPr>
                <w:b w:val="0"/>
                <w:sz w:val="18"/>
              </w:rPr>
              <w:t>[Estimand name]</w:t>
            </w:r>
          </w:p>
        </w:tc>
        <w:tc>
          <w:tcPr>
            <w:tcW w:type="dxa" w:w="1656"/>
          </w:tcPr>
          <w:p>
            <w:pPr>
              <w:spacing w:after="80" w:before="80"/>
            </w:pPr>
            <w:r>
              <w:rPr>
                <w:b w:val="0"/>
                <w:sz w:val="18"/>
              </w:rPr>
              <w:t>[Population]</w:t>
            </w:r>
          </w:p>
        </w:tc>
        <w:tc>
          <w:tcPr>
            <w:tcW w:type="dxa" w:w="1656"/>
          </w:tcPr>
          <w:p>
            <w:pPr>
              <w:spacing w:after="80" w:before="80"/>
            </w:pPr>
            <w:r>
              <w:rPr>
                <w:b w:val="0"/>
                <w:sz w:val="18"/>
              </w:rPr>
              <w:t>[Endpoint and time]</w:t>
            </w:r>
          </w:p>
        </w:tc>
        <w:tc>
          <w:tcPr>
            <w:tcW w:type="dxa" w:w="1656"/>
          </w:tcPr>
          <w:p>
            <w:pPr>
              <w:spacing w:after="80" w:before="80"/>
            </w:pPr>
            <w:r>
              <w:rPr>
                <w:b w:val="0"/>
                <w:sz w:val="18"/>
              </w:rPr>
              <w:t>[Events and justified strategies]</w:t>
            </w:r>
          </w:p>
        </w:tc>
        <w:tc>
          <w:tcPr>
            <w:tcW w:type="dxa" w:w="1656"/>
          </w:tcPr>
          <w:p>
            <w:pPr>
              <w:spacing w:after="80" w:before="80"/>
            </w:pPr>
            <w:r>
              <w:rPr>
                <w:b w:val="0"/>
                <w:sz w:val="18"/>
              </w:rPr>
              <w:t>[Compatible summary measure]</w:t>
            </w:r>
          </w:p>
        </w:tc>
      </w:tr>
    </w:tbl>
    <w:p>
      <w:pPr>
        <w:spacing w:after="0"/>
      </w:pPr>
    </w:p>
    <w:p>
      <w:pPr>
        <w:pStyle w:val="Heading1"/>
        <w:widowControl/>
      </w:pPr>
      <w:r>
        <w:rPr>
          <w:i w:val="0"/>
        </w:rPr>
        <w:t>6.0 Study Design and Endpoints</w:t>
      </w:r>
    </w:p>
    <w:p>
      <w:pPr>
        <w:pStyle w:val="Heading2"/>
        <w:widowControl/>
      </w:pPr>
      <w:r>
        <w:rPr>
          <w:i w:val="0"/>
        </w:rPr>
        <w:t>6.1 Overall Study Design</w:t>
      </w:r>
    </w:p>
    <w:p>
      <w:pPr>
        <w:widowControl/>
      </w:pPr>
      <w:r>
        <w:rPr>
          <w:i w:val="0"/>
        </w:rPr>
        <w:t>This is a Phase [e.g., III], randomized, double-blind, placebo-controlled, parallel-group, multi-center study to evaluate the efficacy and safety of [Investigational Product] in subjects with [Indication].</w:t>
      </w:r>
    </w:p>
    <w:p>
      <w:pPr>
        <w:widowControl/>
      </w:pPr>
      <w:r>
        <w:rPr>
          <w:i w:val="0"/>
        </w:rPr>
        <w:t>Following a [e.g., 2-week] screening period, eligible subjects will be randomized in a [e.g., 1:1] ratio to receive either [Investigational Product] or placebo for [e.g., 24 weeks]. The total duration of study participation for each subject will be approximately [e.g., 26 weeks].</w:t>
      </w:r>
    </w:p>
    <w:p>
      <w:pPr>
        <w:widowControl/>
      </w:pPr>
      <w:r>
        <w:rPr>
          <w:i/>
        </w:rPr>
        <w:t>(A schematic diagram of the study design should be inserted here)</w:t>
      </w:r>
    </w:p>
    <w:p>
      <w:pPr>
        <w:pStyle w:val="Heading2"/>
        <w:widowControl/>
      </w:pPr>
      <w:r>
        <w:rPr>
          <w:i w:val="0"/>
        </w:rPr>
        <w:t>6.2 Randomization and Blinding</w:t>
      </w:r>
    </w:p>
    <w:p>
      <w:pPr>
        <w:widowControl/>
      </w:pPr>
      <w:r>
        <w:rPr>
          <w:i w:val="0"/>
        </w:rPr>
        <w:t>Subjects will be randomized to treatment groups using a central Interactive Response Technology (IRT) system. Randomization will be stratified by [e.g., study site and baseline disease severity (mild/moderate vs. severe)]. The randomization will use [e.g., dynamic allocation / permuted blocks of varying sizes] to ensure balance within strata.</w:t>
      </w:r>
    </w:p>
    <w:p>
      <w:pPr>
        <w:widowControl/>
      </w:pPr>
      <w:r>
        <w:rPr>
          <w:i w:val="0"/>
        </w:rPr>
        <w:t>This is a double-blind study. The subject, investigator, site personnel, and all sponsor personnel involved in the conduct or analysis of the study will remain blinded to the treatment assignment until after database lock.</w:t>
      </w:r>
    </w:p>
    <w:p>
      <w:pPr>
        <w:pStyle w:val="Heading2"/>
        <w:widowControl/>
      </w:pPr>
      <w:r>
        <w:rPr>
          <w:i w:val="0"/>
        </w:rPr>
        <w:t>6.3 Study Endpoints</w:t>
      </w:r>
    </w:p>
    <w:p>
      <w:pPr>
        <w:widowControl/>
      </w:pPr>
      <w:r>
        <w:rPr>
          <w:b/>
          <w:i w:val="0"/>
        </w:rPr>
        <w:t>Primary Efficacy Endpoint:</w:t>
      </w:r>
      <w:r>
        <w:rPr>
          <w:i w:val="0"/>
        </w:rPr>
        <w:t xml:space="preserve"> [e.g., Change from baseline to Week 24 in HbA1c.</w:t>
      </w:r>
      <w:r>
        <w:rPr/>
        <w:t>]</w:t>
      </w:r>
    </w:p>
    <w:p>
      <w:pPr>
        <w:pStyle w:val="ListBullet"/>
        <w:widowControl/>
      </w:pPr>
      <w:r>
        <w:rPr>
          <w:b/>
          <w:i w:val="0"/>
        </w:rPr>
        <w:t>Secondary Efficacy Endpoints:</w:t>
      </w:r>
    </w:p>
    <w:p>
      <w:pPr>
        <w:pStyle w:val="ListBullet2"/>
        <w:widowControl/>
      </w:pPr>
      <w:r>
        <w:rPr>
          <w:i w:val="0"/>
        </w:rPr>
        <w:t>[e.g., Proportion of subjects achieving an HbA1c &lt; 7.0% at Week 24.</w:t>
      </w:r>
      <w:r>
        <w:rPr/>
        <w:t>]</w:t>
      </w:r>
    </w:p>
    <w:p>
      <w:pPr>
        <w:pStyle w:val="ListBullet2"/>
        <w:widowControl/>
      </w:pPr>
      <w:r>
        <w:rPr>
          <w:i w:val="0"/>
        </w:rPr>
        <w:t>[e.g., Change from baseline to Week 24 in fasting plasma glucose.</w:t>
      </w:r>
      <w:r>
        <w:rPr/>
        <w:t>]</w:t>
      </w:r>
    </w:p>
    <w:p>
      <w:pPr>
        <w:pStyle w:val="ListBullet2"/>
        <w:widowControl/>
      </w:pPr>
      <w:r>
        <w:rPr>
          <w:i w:val="0"/>
        </w:rPr>
        <w:t>[e.g., Change from baseline to Week 24 in body weight.</w:t>
      </w:r>
      <w:r>
        <w:rPr/>
        <w:t>]</w:t>
      </w:r>
    </w:p>
    <w:p>
      <w:pPr>
        <w:pStyle w:val="ListBullet"/>
        <w:widowControl/>
      </w:pPr>
      <w:r>
        <w:rPr>
          <w:b/>
          <w:i w:val="0"/>
        </w:rPr>
        <w:t>Exploratory Endpoints:</w:t>
      </w:r>
      <w:r>
        <w:rPr>
          <w:i w:val="0"/>
        </w:rPr>
        <w:t xml:space="preserve"> [List any exploratory endpoints.</w:t>
      </w:r>
      <w:r>
        <w:rPr/>
        <w:t>]</w:t>
      </w:r>
    </w:p>
    <w:p>
      <w:pPr>
        <w:pStyle w:val="ListBullet"/>
        <w:widowControl/>
      </w:pPr>
      <w:r>
        <w:rPr>
          <w:b/>
          <w:i w:val="0"/>
        </w:rPr>
        <w:t>Safety Endpoints:</w:t>
      </w:r>
      <w:r>
        <w:rPr>
          <w:i w:val="0"/>
        </w:rPr>
        <w:t xml:space="preserve"> [e.g., Incidence of adverse events, serious adverse events, and changes in laboratory parameters, vital signs, and ECGs.</w:t>
      </w:r>
      <w:r>
        <w:rPr/>
        <w:t>]</w:t>
      </w:r>
    </w:p>
    <w:p>
      <w:pPr>
        <w:pStyle w:val="Heading1"/>
        <w:widowControl/>
      </w:pPr>
      <w:r>
        <w:rPr>
          <w:i w:val="0"/>
        </w:rPr>
        <w:t>7.0 Analysis Populations</w:t>
      </w:r>
    </w:p>
    <w:p>
      <w:pPr>
        <w:pStyle w:val="Heading2"/>
        <w:widowControl/>
      </w:pPr>
      <w:r>
        <w:rPr>
          <w:i w:val="0"/>
        </w:rPr>
        <w:t>7.1 Intent-to-Treat (ITT) / Full Analysis Set (FAS)</w:t>
      </w:r>
    </w:p>
    <w:p>
      <w:pPr>
        <w:widowControl/>
      </w:pPr>
      <w:r>
        <w:rPr/>
        <w:t>[Define the full analysis set and justify any exclusions, keeping as close as possible to all randomised participants. Specify analysis by assigned group. Distinguish the analysis set from the estimand and estimator: including all randomised participants alone does not resolve missing data or determine the intercurrent-event strategy.]</w:t>
      </w:r>
    </w:p>
    <w:p>
      <w:pPr>
        <w:pStyle w:val="Heading2"/>
        <w:widowControl/>
      </w:pPr>
      <w:r>
        <w:rPr>
          <w:i w:val="0"/>
        </w:rPr>
        <w:t>7.2 Per-Protocol (PP) Population</w:t>
      </w:r>
    </w:p>
    <w:p>
      <w:pPr>
        <w:widowControl/>
      </w:pPr>
      <w:r>
        <w:rPr/>
        <w:t>[Define any per-protocol set and justify its role. Excluding participants after randomisation can introduce selection bias. A naive per-protocol analysis does not, by itself, identify a causal effect under perfect adherence or estimate a hypothetical estimand. State the target, assumptions and limitations.</w:t>
      </w:r>
      <w:r>
        <w:rPr/>
        <w:t>]</w:t>
      </w:r>
    </w:p>
    <w:p>
      <w:pPr>
        <w:widowControl/>
      </w:pPr>
      <w:r>
        <w:rPr>
          <w:i w:val="0"/>
        </w:rPr>
        <w:t>Exclusion from the PP population will be based on the occurrence of one or more of the following major protocol deviations:</w:t>
      </w:r>
    </w:p>
    <w:p>
      <w:pPr>
        <w:pStyle w:val="ListBullet"/>
        <w:widowControl/>
      </w:pPr>
      <w:r>
        <w:rPr>
          <w:i w:val="0"/>
        </w:rPr>
        <w:t>[e.g., Failure to meet key inclusion/exclusion criteria.</w:t>
      </w:r>
      <w:r>
        <w:rPr/>
        <w:t>]</w:t>
      </w:r>
    </w:p>
    <w:p>
      <w:pPr>
        <w:pStyle w:val="ListBullet"/>
        <w:widowControl/>
      </w:pPr>
      <w:r>
        <w:rPr>
          <w:i w:val="0"/>
        </w:rPr>
        <w:t>[e.g., Adherence to investigational product &lt; 80% or &gt; 120%.</w:t>
      </w:r>
      <w:r>
        <w:rPr/>
        <w:t>]</w:t>
      </w:r>
    </w:p>
    <w:p>
      <w:pPr>
        <w:pStyle w:val="ListBullet"/>
        <w:widowControl/>
      </w:pPr>
      <w:r>
        <w:rPr>
          <w:i w:val="0"/>
        </w:rPr>
        <w:t>[e.g., Use of a prohibited concomitant medication with a known effect on the primary endpoint.</w:t>
      </w:r>
      <w:r>
        <w:rPr/>
        <w:t>]</w:t>
      </w:r>
    </w:p>
    <w:p>
      <w:pPr>
        <w:pStyle w:val="Heading2"/>
        <w:widowControl/>
      </w:pPr>
      <w:r>
        <w:rPr>
          <w:i w:val="0"/>
        </w:rPr>
        <w:t>7.3 Safety Population</w:t>
      </w:r>
    </w:p>
    <w:p>
      <w:pPr>
        <w:widowControl/>
      </w:pPr>
      <w:r>
        <w:rPr>
          <w:i w:val="0"/>
        </w:rPr>
        <w:t>The Safety population will include all subjects who received at least one dose of the investigational product or control. Subjects will be analyzed according to the treatment they actually received (as-treated). All safety analyses, including summaries of adverse events and other safety parameters, will be performed on the Safety Population.</w:t>
      </w:r>
    </w:p>
    <w:p>
      <w:pPr>
        <w:pStyle w:val="Heading1"/>
        <w:widowControl/>
      </w:pPr>
      <w:r>
        <w:rPr>
          <w:i w:val="0"/>
        </w:rPr>
        <w:t>8.0 General Statistical Conventions</w:t>
      </w:r>
    </w:p>
    <w:p>
      <w:pPr>
        <w:widowControl/>
      </w:pPr>
      <w:r>
        <w:rPr/>
        <w:t>[Review and replace the illustrative conventions below. Specify the confirmatory testing family, multiplicity strategy, sidedness, alpha allocation and confidence intervals; distinguish exploratory analyses.]</w:t>
      </w:r>
    </w:p>
    <w:p>
      <w:pPr>
        <w:pStyle w:val="ListBullet"/>
        <w:widowControl/>
      </w:pPr>
      <w:r>
        <w:rPr>
          <w:i w:val="0"/>
        </w:rPr>
        <w:t>All statistical tests will be two-sided with a significance level (alpha) of 0.05.</w:t>
      </w:r>
    </w:p>
    <w:p>
      <w:pPr>
        <w:pStyle w:val="ListBullet"/>
        <w:widowControl/>
      </w:pPr>
      <w:r>
        <w:rPr>
          <w:i w:val="0"/>
        </w:rPr>
        <w:t>Confidence intervals will be two-sided with a confidence level of 95%.</w:t>
      </w:r>
    </w:p>
    <w:p>
      <w:pPr>
        <w:pStyle w:val="ListBullet"/>
        <w:widowControl/>
      </w:pPr>
      <w:r>
        <w:rPr>
          <w:i w:val="0"/>
        </w:rPr>
        <w:t>P-values will be reported to three decimal places. P-values less than 0.001 will be reported as &lt;0.001.</w:t>
      </w:r>
    </w:p>
    <w:p>
      <w:pPr>
        <w:pStyle w:val="ListBullet"/>
        <w:widowControl/>
      </w:pPr>
      <w:r>
        <w:rPr>
          <w:i w:val="0"/>
        </w:rPr>
        <w:t>Continuous data will be summarized by the number of subjects (n), mean, standard deviation (SD), median, minimum, and maximum.</w:t>
      </w:r>
    </w:p>
    <w:p>
      <w:pPr>
        <w:pStyle w:val="ListBullet"/>
        <w:widowControl/>
      </w:pPr>
      <w:r>
        <w:rPr>
          <w:i w:val="0"/>
        </w:rPr>
        <w:t>Categorical data will be summarized by counts and percentages.</w:t>
      </w:r>
    </w:p>
    <w:p>
      <w:pPr>
        <w:pStyle w:val="ListBullet"/>
        <w:widowControl/>
      </w:pPr>
      <w:r>
        <w:rPr/>
        <w:t>[Specify software, versions, packages, validated procedures and reproducibility arrangements, including random seeds where relevant.]</w:t>
      </w:r>
    </w:p>
    <w:p>
      <w:pPr>
        <w:pStyle w:val="Heading1"/>
        <w:widowControl/>
      </w:pPr>
      <w:r>
        <w:rPr>
          <w:i w:val="0"/>
        </w:rPr>
        <w:t>9.0 Sample Size and Power Considerations</w:t>
      </w:r>
    </w:p>
    <w:p>
      <w:pPr>
        <w:widowControl/>
      </w:pPr>
      <w:r>
        <w:rPr>
          <w:i w:val="0"/>
        </w:rPr>
        <w:t>The planned sample size for this study is [Number] subjects ([Number] per treatment group). This sample size was calculated to provide [e.g., 90%] power to detect a clinically meaningful difference of [e.g., 0.5%] in the mean change from baseline in HbA1c between the investigational product and placebo groups, assuming a common standard deviation of [e.g., 1.2%], using a two-sided t-test at an alpha level of 0.05. This calculation accounts for an anticipated dropout rate of [e.g., 15%].</w:t>
      </w:r>
    </w:p>
    <w:p>
      <w:pPr>
        <w:pStyle w:val="Heading1"/>
        <w:widowControl/>
      </w:pPr>
      <w:r>
        <w:rPr>
          <w:i w:val="0"/>
        </w:rPr>
        <w:t>10.0 Disposition of Subjects</w:t>
      </w:r>
    </w:p>
    <w:p>
      <w:pPr>
        <w:widowControl/>
      </w:pPr>
      <w:r>
        <w:rPr>
          <w:i w:val="0"/>
        </w:rPr>
        <w:t>Subject disposition will be summarized for all randomized subjects. The number of subjects screened, screen failures (with reasons), randomized, and included in each analysis population will be presented. A summary of subject discontinuations from the study and from treatment will be provided by treatment group, including the primary reason for discontinuation.</w:t>
      </w:r>
    </w:p>
    <w:p>
      <w:pPr>
        <w:widowControl/>
      </w:pPr>
      <w:r>
        <w:rPr>
          <w:i w:val="0"/>
        </w:rPr>
        <w:t>A CONSORT-style flow diagram will be provided to visually depict the flow of subjects through the study, from screening to study completion.</w:t>
      </w:r>
    </w:p>
    <w:p>
      <w:pPr>
        <w:pStyle w:val="Heading1"/>
        <w:widowControl/>
      </w:pPr>
      <w:r>
        <w:rPr>
          <w:i w:val="0"/>
        </w:rPr>
        <w:t>11.0 Demographic and Baseline Characteristics</w:t>
      </w:r>
    </w:p>
    <w:p>
      <w:pPr>
        <w:widowControl/>
      </w:pPr>
      <w:r>
        <w:rPr>
          <w:i w:val="0"/>
        </w:rPr>
        <w:t>Demographic and baseline characteristics will be summarized by treatment group for all analysis populations (ITT, PP, and Safety). Continuous variables (e.g., age, weight, BMI) will be summarized using descriptive statistics. Categorical variables (e.g., sex, race, ethnicity, medical history) will be summarized using counts and percentages. No formal statistical testing will be performed on baseline characteristics; any observed imbalances will be noted and discussed in the clinical study report.</w:t>
      </w:r>
    </w:p>
    <w:p>
      <w:pPr>
        <w:pStyle w:val="Heading1"/>
        <w:widowControl/>
      </w:pPr>
      <w:r>
        <w:rPr>
          <w:i w:val="0"/>
        </w:rPr>
        <w:t>12.0 Efficacy Analyses</w:t>
      </w:r>
    </w:p>
    <w:p>
      <w:pPr>
        <w:pStyle w:val="Heading2"/>
        <w:widowControl/>
      </w:pPr>
      <w:r>
        <w:rPr>
          <w:i w:val="0"/>
        </w:rPr>
        <w:t>12.1 Primary Efficacy Analysis</w:t>
      </w:r>
    </w:p>
    <w:p>
      <w:pPr>
        <w:widowControl/>
      </w:pPr>
      <w:r>
        <w:rPr>
          <w:i w:val="0"/>
        </w:rPr>
        <w:t xml:space="preserve">The primary efficacy analysis will be performed on the </w:t>
      </w:r>
      <w:r>
        <w:rPr/>
        <w:t>[Specify]</w:t>
      </w:r>
      <w:r>
        <w:rPr>
          <w:i w:val="0"/>
        </w:rPr>
        <w:t xml:space="preserve"> population to provide an estimate for the primary estimand defined in Section 5.2.</w:t>
      </w:r>
    </w:p>
    <w:p>
      <w:pPr>
        <w:widowControl/>
      </w:pPr>
      <w:r>
        <w:rPr>
          <w:i w:val="0"/>
        </w:rPr>
        <w:t>The primary endpoint, [e.g., change from baseline in HbA1c at Week 24], will be analyzed using an Analysis of Covariance (ANCOVA) model. This model serves as the main estimator for the primary estimand.</w:t>
      </w:r>
    </w:p>
    <w:p>
      <w:pPr>
        <w:widowControl/>
      </w:pPr>
      <w:r>
        <w:rPr/>
        <w:t>The model will be specified as:</w:t>
      </w:r>
    </w:p>
    <w:p>
      <w:pPr>
        <w:widowControl/>
      </w:pPr>
      <w:r>
        <w:rPr/>
        <w:t>[Specify the complete model equation, including the outcome, intercept, treatment coding, covariates, interactions and error structure. Define the contrast of interest.</w:t>
      </w:r>
      <w:r>
        <w:rPr/>
        <w:t>]</w:t>
      </w:r>
    </w:p>
    <w:p>
      <w:pPr>
        <w:widowControl/>
      </w:pPr>
      <w:r>
        <w:rPr>
          <w:i w:val="0"/>
        </w:rPr>
        <w:t>Where:</w:t>
      </w:r>
    </w:p>
    <w:p>
      <w:pPr>
        <w:pStyle w:val="ListBullet"/>
        <w:widowControl/>
      </w:pPr>
      <w:r>
        <w:rPr>
          <w:i w:val="0"/>
        </w:rPr>
        <w:t>Response is the change from baseline in HbA1c at Week 24.</w:t>
      </w:r>
    </w:p>
    <w:p>
      <w:pPr>
        <w:pStyle w:val="ListBullet"/>
        <w:widowControl/>
      </w:pPr>
      <w:r>
        <w:rPr>
          <w:i w:val="0"/>
        </w:rPr>
        <w:t>Treatment is the randomized treatment group (IP vs. Placebo), included as a fixed effect.</w:t>
      </w:r>
    </w:p>
    <w:p>
      <w:pPr>
        <w:pStyle w:val="ListBullet"/>
        <w:widowControl/>
      </w:pPr>
      <w:r>
        <w:rPr>
          <w:i w:val="0"/>
        </w:rPr>
        <w:t>Baseline is the baseline HbA1c value, included as a continuous covariate.</w:t>
      </w:r>
    </w:p>
    <w:p>
      <w:pPr>
        <w:pStyle w:val="ListBullet"/>
        <w:widowControl/>
      </w:pPr>
      <w:r>
        <w:rPr>
          <w:i w:val="0"/>
        </w:rPr>
        <w:t>Stratification_Factor_1 is the randomization stratification factor [e.g., baseline disease severity], included as a fixed effect.</w:t>
      </w:r>
    </w:p>
    <w:p>
      <w:pPr>
        <w:widowControl/>
      </w:pPr>
      <w:r>
        <w:rPr>
          <w:i w:val="0"/>
        </w:rPr>
        <w:t>The treatment effect will be estimated by the difference in least-squares (LS) means between the treatment groups. The corresponding two-sided 95% confidence interval and p-value for this difference will be presented.</w:t>
      </w:r>
    </w:p>
    <w:p>
      <w:pPr>
        <w:widowControl/>
      </w:pPr>
      <w:r>
        <w:rPr>
          <w:i w:val="0"/>
        </w:rPr>
        <w:t>The assumptions of the ANCOVA model (normality of residuals, homogeneity of variance) will be assessed graphically using residual plots.</w:t>
      </w:r>
    </w:p>
    <w:p>
      <w:pPr>
        <w:pStyle w:val="Heading2"/>
        <w:widowControl/>
      </w:pPr>
      <w:r>
        <w:rPr>
          <w:i w:val="0"/>
        </w:rPr>
        <w:t>12.2 Secondary Efficacy Analyses</w:t>
      </w:r>
    </w:p>
    <w:p>
      <w:pPr>
        <w:pStyle w:val="ListBullet"/>
        <w:widowControl/>
      </w:pPr>
      <w:r>
        <w:rPr>
          <w:b/>
          <w:i w:val="0"/>
        </w:rPr>
        <w:t>Proportion of subjects achieving an HbA1c &lt; 7.0% at Week 24:</w:t>
      </w:r>
      <w:r>
        <w:rPr>
          <w:i w:val="0"/>
        </w:rPr>
        <w:t xml:space="preserve"> This binary endpoint will be analyzed using a logistic regression model, adjusted for treatment, baseline HbA1c, and randomization stratification factors. The treatment effect will be presented as an odds ratio with its 95% CI and p-value.</w:t>
      </w:r>
    </w:p>
    <w:p>
      <w:pPr>
        <w:pStyle w:val="ListBullet"/>
        <w:widowControl/>
      </w:pPr>
      <w:r>
        <w:rPr>
          <w:b/>
          <w:i w:val="0"/>
        </w:rPr>
        <w:t>Change from baseline in fasting plasma glucose:</w:t>
      </w:r>
      <w:r>
        <w:rPr>
          <w:i w:val="0"/>
        </w:rPr>
        <w:t xml:space="preserve"> This continuous endpoint will be analyzed using a mixed model for repeated measures (MMRM) including all post-baseline visits. The model will include fixed effects for treatment, visit, treatment-by-visit interaction, baseline value, and stratification factors. An unstructured covariance matrix will be used to model the within-subject correlation.</w:t>
      </w:r>
    </w:p>
    <w:p>
      <w:pPr>
        <w:pStyle w:val="Heading1"/>
        <w:widowControl/>
      </w:pPr>
      <w:r>
        <w:rPr>
          <w:i w:val="0"/>
        </w:rPr>
        <w:t>13.0 Safety Analyses</w:t>
      </w:r>
    </w:p>
    <w:p>
      <w:pPr>
        <w:widowControl/>
      </w:pPr>
      <w:r>
        <w:rPr/>
        <w:t>[Specify the safety analysis set and treatment grouping consistently with Section 7.3. Explain whether each summary uses treatment assigned or treatment received; describe any additional summaries separately.</w:t>
      </w:r>
      <w:r>
        <w:rPr/>
        <w:t>]</w:t>
      </w:r>
    </w:p>
    <w:p>
      <w:pPr>
        <w:pStyle w:val="Heading2"/>
        <w:widowControl/>
      </w:pPr>
      <w:r>
        <w:rPr/>
        <w:t>13.1 Extent of Exposure</w:t>
      </w:r>
    </w:p>
    <w:p>
      <w:pPr>
        <w:widowControl/>
      </w:pPr>
      <w:r>
        <w:rPr/>
        <w:t>Duration of exposure to IP will be summarized using descriptive statistics.</w:t>
      </w:r>
    </w:p>
    <w:p>
      <w:pPr>
        <w:pStyle w:val="Heading2"/>
        <w:widowControl/>
      </w:pPr>
      <w:r>
        <w:rPr/>
        <w:t>13.2 Adverse Events (AEs)</w:t>
      </w:r>
    </w:p>
    <w:p>
      <w:pPr>
        <w:widowControl/>
      </w:pPr>
      <w:r>
        <w:rPr/>
        <w:t>AEs will be coded using the Medical Dictionary for Regulatory Activities (MedDRA). The incidence of Treatment-Emergent AEs (TEAEs), serious AEs (SAEs), and AEs leading to discontinuation will be summarized by system organ class and preferred term.</w:t>
      </w:r>
    </w:p>
    <w:p>
      <w:pPr>
        <w:pStyle w:val="Heading2"/>
        <w:widowControl/>
      </w:pPr>
      <w:r>
        <w:rPr/>
        <w:t>13.3 Laboratory Data, Vital Signs, and ECGs</w:t>
      </w:r>
    </w:p>
    <w:p>
      <w:pPr>
        <w:widowControl/>
      </w:pPr>
      <w:r>
        <w:rPr/>
        <w:t>Continuous safety data will be summarized by visit using descriptive statistics (mean, SD) for actual values and change from baseline. Clinically significant laboratory abnormalities will be summarized using shift tables based on normal ranges.</w:t>
      </w:r>
    </w:p>
    <w:p>
      <w:pPr>
        <w:pStyle w:val="Heading1"/>
        <w:widowControl/>
      </w:pPr>
      <w:r>
        <w:rPr>
          <w:i w:val="0"/>
        </w:rPr>
        <w:t>14.0 Handling of Missing Data and Protocol Deviations</w:t>
      </w:r>
    </w:p>
    <w:p>
      <w:pPr>
        <w:widowControl/>
      </w:pPr>
      <w:r>
        <w:rPr/>
        <w:t>Specify missing-data methods and assumptions for each estimand; distinguish missing observations from outcomes that cannot exist.</w:t>
      </w:r>
    </w:p>
    <w:p>
      <w:pPr>
        <w:pStyle w:val="Heading2"/>
        <w:widowControl/>
      </w:pPr>
      <w:r>
        <w:rPr>
          <w:i w:val="0"/>
        </w:rPr>
        <w:t>14.1 Missing Data Handling</w:t>
      </w:r>
    </w:p>
    <w:p>
      <w:pPr>
        <w:widowControl/>
      </w:pPr>
      <w:r>
        <w:rPr/>
        <w:t>[For each analysis, describe which required observations are missing, plausible reasons for missingness, the main identifying assumptions, and why those assumptions are credible. MAR is an assumption conditional on specified observed information; it is not established simply by testing the observed data.</w:t>
      </w:r>
      <w:r>
        <w:rPr/>
        <w:t>]</w:t>
      </w:r>
    </w:p>
    <w:p>
      <w:pPr>
        <w:widowControl/>
      </w:pPr>
      <w:r>
        <w:rPr/>
        <w:t>[Choose a missing-data method consistent with the estimand and analysis. Multiple imputation is an option, not a universal default. If used, complete the specifications below; otherwise replace them with details of the selected method.</w:t>
      </w:r>
      <w:r>
        <w:rPr/>
        <w:t>]</w:t>
      </w:r>
    </w:p>
    <w:p>
      <w:pPr>
        <w:pStyle w:val="ListBullet"/>
        <w:widowControl/>
      </w:pPr>
      <w:r>
        <w:rPr/>
        <w:t>[If using multiple imputation, specify the number of imputations, random seed, software and algorithm, diagnostics, and how Monte Carlo stability will be assessed.</w:t>
      </w:r>
      <w:r>
        <w:rPr/>
        <w:t>]</w:t>
      </w:r>
    </w:p>
    <w:p>
      <w:pPr>
        <w:pStyle w:val="ListBullet"/>
        <w:widowControl/>
      </w:pPr>
      <w:r>
        <w:rPr/>
        <w:t>[Specify imputation variables, treatment interactions, transformations, constraints and post-intercurrent-event data handling. Ensure compatibility with the substantive analysis and identify auxiliary variables and their rationale.</w:t>
      </w:r>
      <w:r>
        <w:rPr/>
        <w:t>]</w:t>
      </w:r>
    </w:p>
    <w:p>
      <w:pPr>
        <w:pStyle w:val="ListBullet"/>
        <w:widowControl/>
      </w:pPr>
      <w:r>
        <w:rPr/>
        <w:t>[Specify the analysis fitted to each imputed dataset and the pooling procedure, including variance estimation, degrees of freedom and confidence intervals.</w:t>
      </w:r>
      <w:r>
        <w:rPr/>
        <w:t>]</w:t>
      </w:r>
    </w:p>
    <w:p>
      <w:pPr>
        <w:pStyle w:val="Heading2"/>
        <w:widowControl/>
      </w:pPr>
      <w:r>
        <w:rPr>
          <w:i w:val="0"/>
        </w:rPr>
        <w:t>14.2 Protocol Deviations</w:t>
      </w:r>
    </w:p>
    <w:p>
      <w:pPr>
        <w:widowControl/>
      </w:pPr>
      <w:r>
        <w:rPr>
          <w:i w:val="0"/>
        </w:rPr>
        <w:t>All significant protocol deviations will be identified and documented prior to database lock. A listing of all subjects with major protocol deviations will be provided. The number of subjects with major deviations will be summarized by treatment group and by category of deviation.</w:t>
      </w:r>
    </w:p>
    <w:p>
      <w:pPr>
        <w:pStyle w:val="Heading1"/>
        <w:widowControl/>
      </w:pPr>
      <w:r>
        <w:rPr>
          <w:i w:val="0"/>
        </w:rPr>
        <w:t>15.0 Sensitivity and Supplementary Analyses</w:t>
      </w:r>
    </w:p>
    <w:p>
      <w:pPr>
        <w:pStyle w:val="Heading2"/>
        <w:widowControl/>
      </w:pPr>
      <w:r>
        <w:rPr/>
        <w:t>15.1 Sensitivity and Supplementary Analyses</w:t>
      </w:r>
    </w:p>
    <w:p>
      <w:pPr>
        <w:widowControl/>
      </w:pPr>
      <w:r>
        <w:rPr/>
        <w:t>[Specify sensitivity analyses that target the same estimand as the main analysis while varying relevant assumptions. Explain the departures examined and how results will be compared.</w:t>
      </w:r>
      <w:r>
        <w:rPr/>
        <w:t>]</w:t>
      </w:r>
    </w:p>
    <w:p>
      <w:pPr>
        <w:pStyle w:val="ListBullet"/>
        <w:widowControl/>
      </w:pPr>
      <w:r>
        <w:rPr/>
        <w:t>Per-protocol analysis, if included: [Classify as supplementary when it targets a different question or population. Define exclusions and discuss potential bias; do not describe it as automatically estimating ideal adherence.</w:t>
      </w:r>
      <w:r>
        <w:rPr/>
        <w:t>]</w:t>
      </w:r>
    </w:p>
    <w:p>
      <w:pPr>
        <w:pStyle w:val="ListBullet"/>
        <w:widowControl/>
      </w:pPr>
      <w:r>
        <w:rPr/>
        <w:t>Missing-data sensitivity analysis: [Specify plausible departures from the main assumptions, such as justified delta adjustments or reference-based imputation, with parameters and rationale. State how the method targets the estimand. A reference-based assumption is not automatically conservative or a worst case.</w:t>
      </w:r>
      <w:r>
        <w:rPr/>
        <w:t>]</w:t>
      </w:r>
    </w:p>
    <w:p>
      <w:pPr>
        <w:pStyle w:val="ListBullet"/>
        <w:widowControl/>
      </w:pPr>
      <w:r>
        <w:rPr/>
        <w:t>Alternative estimand analysis: [Describe separately as a supplementary analysis. Define all estimand attributes and the estimator. Do not call it sensitivity analysis for the primary estimand or assume that MMRM alone implements a treatment-policy strategy.</w:t>
      </w:r>
      <w:r>
        <w:rPr/>
        <w:t>]</w:t>
      </w:r>
    </w:p>
    <w:p>
      <w:pPr>
        <w:pStyle w:val="Heading2"/>
        <w:widowControl/>
      </w:pPr>
      <w:r>
        <w:rPr>
          <w:i w:val="0"/>
        </w:rPr>
        <w:t>15.2 Subgroup Analyses</w:t>
      </w:r>
    </w:p>
    <w:p>
      <w:pPr>
        <w:widowControl/>
      </w:pPr>
      <w:r>
        <w:rPr>
          <w:i w:val="0"/>
        </w:rPr>
        <w:t>Pre-specified subgroup analyses will be performed for the primary efficacy endpoint based on the following baseline characteristics:</w:t>
      </w:r>
    </w:p>
    <w:p>
      <w:pPr>
        <w:pStyle w:val="ListBullet"/>
        <w:widowControl/>
      </w:pPr>
      <w:r>
        <w:rPr>
          <w:i w:val="0"/>
        </w:rPr>
        <w:t>[e.g., Age group (&lt;65 years vs. ≥65 years)]</w:t>
      </w:r>
    </w:p>
    <w:p>
      <w:pPr>
        <w:widowControl/>
      </w:pPr>
      <w:r>
        <w:rPr/>
        <w:t>[Specify the subgroup interaction models, contrasts, intervals and any multiplicity adjustment. Explain whether analyses are exploratory or confirmatory and their precision or power limitations. Do not infer heterogeneity solely because one subgroup has a significant result and another does not.]</w:t>
      </w:r>
    </w:p>
    <w:p>
      <w:pPr>
        <w:pStyle w:val="Heading1"/>
        <w:widowControl/>
      </w:pPr>
      <w:r>
        <w:rPr>
          <w:i w:val="0"/>
        </w:rPr>
        <w:t>16.0 Interim Analyses</w:t>
      </w:r>
    </w:p>
    <w:p>
      <w:pPr>
        <w:widowControl/>
      </w:pPr>
      <w:r>
        <w:rPr/>
        <w:t>[Select one of the following options, remove the other, and reconcile with the protocol and monitoring charter.</w:t>
      </w:r>
      <w:r>
        <w:rPr/>
        <w:t>]</w:t>
      </w:r>
    </w:p>
    <w:p>
      <w:pPr>
        <w:widowControl/>
      </w:pPr>
      <w:r>
        <w:rPr/>
        <w:t>Option A: [If applicable, state that no formal interim analyses for efficacy or futility are planned.</w:t>
      </w:r>
      <w:r>
        <w:rPr/>
        <w:t>]</w:t>
      </w:r>
    </w:p>
    <w:p>
      <w:pPr>
        <w:widowControl/>
      </w:pPr>
      <w:r>
        <w:rPr/>
        <w:t>Option B: [If interim analyses are planned, complete the following specification.</w:t>
      </w:r>
      <w:r>
        <w:rPr/>
        <w:t>]</w:t>
      </w:r>
    </w:p>
    <w:p>
      <w:pPr>
        <w:widowControl/>
      </w:pPr>
      <w:r>
        <w:rPr/>
        <w:t>[Specify timing or information fractions, efficacy/futility boundaries, error-spending method where applicable, decision rules, who accesses unblinded data, and who makes recommendations or decisions. Include any planned sample-size adaptation and its operating characteristics.</w:t>
      </w:r>
      <w:r>
        <w:rPr/>
        <w:t>]</w:t>
      </w:r>
    </w:p>
    <w:p>
      <w:pPr>
        <w:pStyle w:val="Heading1"/>
        <w:widowControl/>
      </w:pPr>
      <w:r>
        <w:rPr>
          <w:i w:val="0"/>
        </w:rPr>
        <w:t>17.0 Reporting Conventions and Mock Shells</w:t>
      </w:r>
    </w:p>
    <w:p>
      <w:pPr>
        <w:widowControl/>
      </w:pPr>
      <w:r>
        <w:rPr>
          <w:i w:val="0"/>
        </w:rPr>
        <w:t>All results from the analyses specified in this SAP will be presented in tables, listings, and figures (TLFs). The specific format and content of these TLFs are provided in a separate document, the "Mock TLF Shells" document. The development of mock shells is a best practice that ensures clarity in data presentation and alignment between the planned analyses and the final report.</w:t>
      </w:r>
    </w:p>
    <w:p>
      <w:pPr>
        <w:pStyle w:val="Heading1"/>
        <w:widowControl/>
      </w:pPr>
      <w:r>
        <w:rPr>
          <w:i w:val="0"/>
        </w:rPr>
        <w:t>18.0 References</w:t>
      </w:r>
    </w:p>
    <w:p>
      <w:pPr>
        <w:pStyle w:val="ListBullet"/>
        <w:widowControl/>
      </w:pPr>
      <w:r>
        <w:rPr/>
        <w:t>[Add the protocol and methods references that support the completed SAP. The following guidance informs the template; use the current applicable requirements for the study.</w:t>
      </w:r>
      <w:r>
        <w:rPr/>
        <w:t>]</w:t>
      </w:r>
    </w:p>
    <w:p>
      <w:pPr>
        <w:widowControl/>
      </w:pPr>
      <w:r>
        <w:rPr/>
        <w:t>ICH E9 Statistical Principles for Clinical Trials, section 3.5 and analysis principles. https://database.ich.org/sites/default/files/E9_Guideline.pdf</w:t>
      </w:r>
    </w:p>
    <w:p>
      <w:pPr>
        <w:widowControl/>
      </w:pPr>
      <w:r>
        <w:rPr/>
        <w:t>ICH E9(R1) Addendum on Estimands and Sensitivity Analysis in Clinical Trials, adopted 20 November 2019. https://database.ich.org/sites/default/files/E9-R1_Step4_Guideline_2019_1203.pdf</w:t>
      </w:r>
    </w:p>
    <w:sectPr w:rsidR="00FC693F" w:rsidRPr="0006063C" w:rsidSect="00034616">
      <w:footerReference w:type="default" r:id="rId9"/>
      <w:pgSz w:w="12240" w:h="15840"/>
      <w:pgMar w:top="1152" w:right="1152" w:bottom="1152" w:left="1152" w:header="72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666666"/>
        <w:sz w:val="18"/>
      </w:rPr>
      <w:t xml:space="preserve">StatMedAnalysis  |  Statistical Analysis Plan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59" w:lineRule="auto"/>
      <w:contextualSpacing/>
    </w:pPr>
    <w:rPr>
      <w:rFonts w:ascii="Arial" w:hAnsi="Arial"/>
      <w:sz w:val="22"/>
    </w:rPr>
  </w:style>
  <w:style w:type="paragraph" w:styleId="ListBullet2">
    <w:name w:val="List Bullet 2"/>
    <w:basedOn w:val="Normal"/>
    <w:uiPriority w:val="99"/>
    <w:unhideWhenUsed/>
    <w:rsid w:val="00326F90"/>
    <w:pPr>
      <w:numPr>
        <w:numId w:val="2"/>
      </w:numPr>
      <w:spacing w:after="120" w:line="259" w:lineRule="auto"/>
      <w:contextualSpacing/>
    </w:pPr>
    <w:rPr>
      <w:rFonts w:ascii="Arial" w:hAnsi="Arial"/>
      <w:sz w:val="22"/>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20" w:line="259" w:lineRule="auto"/>
      <w:contextualSpacing/>
    </w:pPr>
    <w:rPr>
      <w:rFonts w:ascii="Arial" w:hAnsi="Arial"/>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Analysis Plan Template</dc:title>
  <dc:subject>Study-specific drafting template requiring review and completion</dc:subject>
  <dc:creator>StatMedAnalysis</dc:creator>
  <cp:keywords/>
  <dc:description>generated by python-docx</dc:description>
  <cp:lastModifiedBy/>
  <cp:revision>1</cp:revision>
  <dcterms:created xsi:type="dcterms:W3CDTF">2013-12-23T23:15:00Z</dcterms:created>
  <dcterms:modified xsi:type="dcterms:W3CDTF">2013-12-23T23:15:00Z</dcterms:modified>
  <cp:category/>
</cp:coreProperties>
</file>